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spacing w:before="120" w:beforeAutospacing="0" w:after="120" w:afterAutospacing="0" w:line="360" w:lineRule="auto"/>
        <w:rPr>
          <w:color w:val="auto"/>
          <w:highlight w:val="none"/>
        </w:rPr>
      </w:pPr>
      <w:r>
        <w:rPr>
          <w:color w:val="auto"/>
          <w:highlight w:val="none"/>
        </w:rPr>
        <w:t xml:space="preserve"> </w:t>
      </w:r>
      <w:r/>
    </w:p>
    <w:p>
      <w:pPr>
        <w:pStyle w:val="820"/>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t xml:space="preserve">竞争性磋商文件</w:t>
      </w:r>
      <w:r/>
    </w:p>
    <w:p>
      <w:pPr>
        <w:pStyle w:val="820"/>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820"/>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820"/>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820"/>
        <w:ind w:firstLine="643"/>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2025年耕地占补平衡项目客土检测</w:t>
      </w:r>
      <w:r/>
    </w:p>
    <w:p>
      <w:pPr>
        <w:pStyle w:val="820"/>
        <w:ind w:firstLine="643"/>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项目编号：</w:t>
      </w:r>
      <w:r>
        <w:rPr>
          <w:rFonts w:hint="eastAsia" w:ascii="Arial" w:hAnsi="Arial" w:cs="Arial"/>
          <w:b/>
          <w:color w:val="auto"/>
          <w:sz w:val="32"/>
          <w:szCs w:val="32"/>
          <w:highlight w:val="none"/>
          <w:lang w:eastAsia="zh-CN"/>
        </w:rPr>
        <w:t xml:space="preserve">JSZC-320921-ZZGJ-C2025-0056</w:t>
      </w:r>
      <w:r>
        <w:rPr>
          <w:rFonts w:ascii="Times New Roman" w:hAnsi="Times New Roman"/>
          <w:b/>
          <w:color w:val="auto"/>
          <w:sz w:val="30"/>
          <w:szCs w:val="30"/>
          <w:highlight w:val="none"/>
        </w:rPr>
        <w:t xml:space="preserve">  </w:t>
      </w:r>
      <w:r/>
    </w:p>
    <w:p>
      <w:pPr>
        <w:pStyle w:val="820"/>
        <w:spacing w:beforeAutospacing="0" w:afterAutospacing="0" w:line="360" w:lineRule="auto"/>
        <w:rPr>
          <w:color w:val="auto"/>
          <w:highlight w:val="none"/>
        </w:rPr>
      </w:pPr>
      <w:r>
        <w:rPr>
          <w:color w:val="auto"/>
          <w:highlight w:val="none"/>
        </w:rPr>
        <w:t xml:space="preserve"> </w:t>
      </w:r>
      <w:r/>
    </w:p>
    <w:p>
      <w:pPr>
        <w:pStyle w:val="820"/>
        <w:spacing w:beforeAutospacing="0" w:afterAutospacing="0" w:line="360" w:lineRule="auto"/>
        <w:rPr>
          <w:color w:val="auto"/>
          <w:highlight w:val="none"/>
        </w:rPr>
      </w:pPr>
      <w:r>
        <w:rPr>
          <w:color w:val="auto"/>
          <w:highlight w:val="none"/>
        </w:rPr>
        <w:t xml:space="preserve"> </w:t>
      </w:r>
      <w:r/>
    </w:p>
    <w:p>
      <w:pPr>
        <w:pStyle w:val="820"/>
        <w:spacing w:beforeAutospacing="0" w:afterAutospacing="0" w:line="360" w:lineRule="auto"/>
        <w:rPr>
          <w:color w:val="auto"/>
          <w:highlight w:val="none"/>
        </w:rPr>
      </w:pPr>
      <w:r>
        <w:rPr>
          <w:color w:val="auto"/>
          <w:highlight w:val="none"/>
        </w:rPr>
        <w:t xml:space="preserve"> </w:t>
      </w:r>
      <w:r/>
    </w:p>
    <w:p>
      <w:pPr>
        <w:pStyle w:val="820"/>
        <w:spacing w:beforeAutospacing="0" w:afterAutospacing="0" w:line="360" w:lineRule="auto"/>
        <w:rPr>
          <w:color w:val="auto"/>
          <w:highlight w:val="none"/>
        </w:rPr>
      </w:pPr>
      <w:r>
        <w:rPr>
          <w:color w:val="auto"/>
          <w:highlight w:val="none"/>
        </w:rPr>
        <w:t xml:space="preserve"> </w:t>
      </w:r>
      <w:r/>
    </w:p>
    <w:p>
      <w:pPr>
        <w:pStyle w:val="820"/>
        <w:spacing w:beforeAutospacing="0" w:afterAutospacing="0" w:line="360" w:lineRule="auto"/>
        <w:rPr>
          <w:color w:val="auto"/>
          <w:highlight w:val="none"/>
        </w:rPr>
      </w:pPr>
      <w:r>
        <w:rPr>
          <w:color w:val="auto"/>
          <w:highlight w:val="none"/>
        </w:rPr>
        <w:t xml:space="preserve"> </w:t>
      </w:r>
      <w:r/>
    </w:p>
    <w:p>
      <w:pPr>
        <w:pStyle w:val="820"/>
        <w:spacing w:beforeAutospacing="0" w:afterAutospacing="0" w:line="360" w:lineRule="auto"/>
        <w:rPr>
          <w:color w:val="auto"/>
          <w:highlight w:val="none"/>
        </w:rPr>
      </w:pPr>
      <w:r>
        <w:rPr>
          <w:color w:val="auto"/>
          <w:highlight w:val="none"/>
        </w:rPr>
        <w:t xml:space="preserve"> </w:t>
      </w:r>
      <w:r/>
    </w:p>
    <w:p>
      <w:pPr>
        <w:pStyle w:val="820"/>
        <w:spacing w:beforeAutospacing="0" w:afterAutospacing="0" w:line="360" w:lineRule="auto"/>
        <w:rPr>
          <w:color w:val="auto"/>
          <w:highlight w:val="none"/>
        </w:rPr>
      </w:pPr>
      <w:r>
        <w:rPr>
          <w:color w:val="auto"/>
          <w:highlight w:val="none"/>
        </w:rPr>
        <w:t xml:space="preserve"> </w:t>
      </w:r>
      <w:r/>
    </w:p>
    <w:p>
      <w:pPr>
        <w:pStyle w:val="820"/>
        <w:jc w:val="center"/>
        <w:spacing w:before="120" w:beforeAutospacing="0" w:after="120" w:afterAutospacing="0" w:line="360" w:lineRule="auto"/>
        <w:rPr>
          <w:rFonts w:hint="default"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响水县自然资源和规划局</w:t>
      </w:r>
      <w:r/>
    </w:p>
    <w:p>
      <w:pPr>
        <w:pStyle w:val="820"/>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2025</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11</w:t>
      </w:r>
      <w:r>
        <w:rPr>
          <w:rFonts w:ascii="Arial" w:hAnsi="Arial" w:cs="Arial"/>
          <w:b/>
          <w:color w:val="auto"/>
          <w:sz w:val="32"/>
          <w:szCs w:val="32"/>
          <w:highlight w:val="none"/>
        </w:rPr>
        <w:t xml:space="preserve">月</w:t>
      </w:r>
      <w:r/>
    </w:p>
    <w:p>
      <w:pPr>
        <w:pStyle w:val="820"/>
        <w:jc w:val="center"/>
        <w:spacing w:before="120" w:beforeAutospacing="0" w:after="120" w:afterAutospacing="0" w:line="360" w:lineRule="auto"/>
        <w:rPr>
          <w:color w:val="auto"/>
          <w:highlight w:val="none"/>
        </w:rPr>
      </w:pPr>
      <w:r>
        <w:rPr>
          <w:color w:val="auto"/>
          <w:highlight w:val="none"/>
        </w:rPr>
        <w:t xml:space="preserve"> </w:t>
      </w:r>
      <w:r/>
    </w:p>
    <w:p>
      <w:pPr>
        <w:pStyle w:val="820"/>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16938516"/>
      <w:r/>
      <w:bookmarkStart w:id="1" w:name="_Toc479757206"/>
      <w:r/>
      <w:bookmarkStart w:id="2" w:name="_Toc120614210"/>
      <w:r/>
      <w:bookmarkStart w:id="3" w:name="_Toc513029200"/>
      <w:r/>
      <w:bookmarkStart w:id="4" w:name="_Toc523127445"/>
      <w:r/>
      <w:bookmarkStart w:id="5" w:name="_Toc20823272"/>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20"/>
        <w:jc w:val="both"/>
        <w:spacing w:beforeAutospacing="0" w:afterAutospacing="0" w:line="480" w:lineRule="auto"/>
        <w:rPr>
          <w:color w:val="auto"/>
          <w:highlight w:val="none"/>
        </w:rPr>
      </w:pPr>
      <w:r>
        <w:rPr>
          <w:color w:val="auto"/>
          <w:highlight w:val="none"/>
        </w:rPr>
        <w:t xml:space="preserve"> </w:t>
      </w:r>
      <w:r/>
    </w:p>
    <w:p>
      <w:pPr>
        <w:pStyle w:val="82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竞争性磋商公告</w:t>
      </w:r>
      <w:r>
        <w:rPr>
          <w:rFonts w:hint="eastAsia" w:ascii="黑体" w:hAnsi="宋体" w:eastAsia="黑体" w:cs="黑体"/>
          <w:color w:val="auto"/>
          <w:sz w:val="36"/>
          <w:szCs w:val="36"/>
          <w:highlight w:val="none"/>
        </w:rPr>
        <w:t xml:space="preserve">…………………………</w:t>
      </w:r>
      <w:r/>
    </w:p>
    <w:p>
      <w:pPr>
        <w:pStyle w:val="82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  </w:t>
      </w:r>
      <w:r/>
    </w:p>
    <w:p>
      <w:pPr>
        <w:pStyle w:val="82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82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82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评审方法与评审标准………………………</w:t>
      </w:r>
      <w:r/>
    </w:p>
    <w:p>
      <w:pPr>
        <w:pStyle w:val="82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响应文件格式………………………………</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rPr>
          <w:color w:val="auto"/>
          <w:highlight w:val="none"/>
        </w:rPr>
        <w:t xml:space="preserve"> </w:t>
      </w:r>
      <w:r>
        <w:rPr>
          <w:color w:val="auto"/>
          <w:highlight w:val="none"/>
        </w:rPr>
      </w:r>
      <w:r/>
    </w:p>
    <w:p>
      <w:pPr>
        <w:pStyle w:val="820"/>
        <w:jc w:val="center"/>
        <w:spacing w:beforeAutospacing="0" w:afterAutospacing="0"/>
        <w:rPr>
          <w:rFonts w:hint="eastAsia" w:ascii="仿宋" w:hAnsi="仿宋" w:eastAsia="仿宋" w:cs="仿宋"/>
          <w:color w:val="auto"/>
          <w:sz w:val="28"/>
          <w:szCs w:val="28"/>
          <w:highlight w:val="none"/>
          <w:lang w:val="en-US" w:eastAsia="zh-CN"/>
        </w:rPr>
      </w:pPr>
      <w: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竞争性磋商公告</w:t>
      </w:r>
      <w:r/>
    </w:p>
    <w:p>
      <w:pPr>
        <w:pStyle w:val="820"/>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20"/>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val="en-US" w:eastAsia="zh-CN"/>
        </w:rPr>
        <w:t xml:space="preserve">2025年耕地占补平衡项目客土检测</w:t>
      </w:r>
      <w:r>
        <w:rPr>
          <w:rFonts w:hint="eastAsia" w:ascii="宋体" w:hAnsi="宋体" w:eastAsia="宋体" w:cs="宋体"/>
          <w:color w:val="auto"/>
          <w:sz w:val="24"/>
          <w:szCs w:val="24"/>
          <w:highlight w:val="none"/>
        </w:rPr>
        <w:t xml:space="preserve">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文件，方</w:t>
      </w:r>
      <w:r>
        <w:rPr>
          <w:rFonts w:hint="eastAsia" w:ascii="宋体" w:hAnsi="宋体" w:eastAsia="宋体" w:cs="宋体"/>
          <w:i w:val="0"/>
          <w:iCs w:val="0"/>
          <w:caps w:val="0"/>
          <w:color w:val="auto"/>
          <w:spacing w:val="0"/>
          <w:sz w:val="24"/>
          <w:szCs w:val="24"/>
          <w:highlight w:val="none"/>
          <w:shd w:val="clear" w:color="auto" w:fill="ffffff"/>
        </w:rPr>
        <w:t xml:space="preserve">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b w:val="0"/>
          <w:bCs w:val="0"/>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月25</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北京时间）前递交响应文件。</w:t>
      </w:r>
      <w:r/>
    </w:p>
    <w:p>
      <w:pPr>
        <w:pStyle w:val="820"/>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 w:name="_Toc35393790"/>
      <w:r/>
      <w:bookmarkStart w:id="8" w:name="_Toc38985263"/>
      <w:r/>
      <w:bookmarkStart w:id="9" w:name="_Toc28359079"/>
      <w:r/>
      <w:bookmarkStart w:id="10" w:name="_Toc28359002"/>
      <w:r/>
      <w:bookmarkStart w:id="11" w:name="_Hlk24379207"/>
      <w:r/>
      <w:bookmarkStart w:id="12" w:name="_Toc35393621"/>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820"/>
        <w:ind w:firstLine="480"/>
        <w:jc w:val="both"/>
        <w:spacing w:beforeAutospacing="0" w:afterAutospacing="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JSZC-320921-ZZGJ-C2025-0056</w:t>
      </w:r>
      <w:r/>
    </w:p>
    <w:p>
      <w:pPr>
        <w:pStyle w:val="820"/>
        <w:ind w:firstLine="480"/>
        <w:jc w:val="both"/>
        <w:spacing w:beforeAutospacing="0" w:afterAutospacing="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000000"/>
          <w:sz w:val="24"/>
          <w:highlight w:val="none"/>
          <w:lang w:eastAsia="zh-CN"/>
        </w:rPr>
        <w:t xml:space="preserve">2025年耕地占补平衡项目客土检测</w:t>
      </w:r>
      <w:r/>
    </w:p>
    <w:p>
      <w:pPr>
        <w:pStyle w:val="820"/>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采购方式：竞争性磋商</w:t>
      </w:r>
      <w:r/>
    </w:p>
    <w:p>
      <w:pPr>
        <w:pStyle w:val="820"/>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4.预算金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额：75万元</w:t>
      </w:r>
      <w:r/>
    </w:p>
    <w:p>
      <w:pPr>
        <w:pStyle w:val="820"/>
        <w:ind w:firstLine="480"/>
        <w:jc w:val="both"/>
        <w:spacing w:beforeAutospacing="0" w:afterAutospacing="0"/>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75万元</w:t>
      </w:r>
      <w:r/>
    </w:p>
    <w:p>
      <w:pPr>
        <w:pStyle w:val="820"/>
        <w:ind w:firstLine="480"/>
        <w:jc w:val="both"/>
        <w:spacing w:beforeAutospacing="0" w:afterAutospacing="0"/>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.采购需求（简介）：</w:t>
      </w:r>
      <w:r>
        <w:rPr>
          <w:rFonts w:hint="eastAsia" w:ascii="宋体" w:hAnsi="宋体" w:eastAsia="宋体" w:cs="宋体"/>
          <w:i w:val="0"/>
          <w:iCs w:val="0"/>
          <w:caps w:val="0"/>
          <w:color w:val="auto"/>
          <w:spacing w:val="0"/>
          <w:sz w:val="24"/>
          <w:szCs w:val="24"/>
          <w:highlight w:val="none"/>
          <w:shd w:val="clear" w:color="auto" w:fill="auto"/>
          <w:lang w:eastAsia="zh-CN"/>
        </w:rPr>
        <w:t xml:space="preserve">2025年耕地占补平衡项目客土检测，</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详见招标文件第四章。</w:t>
      </w:r>
      <w:r/>
    </w:p>
    <w:p>
      <w:pPr>
        <w:pStyle w:val="820"/>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7.合同履行期限：自合同签订之日起至2026年12月31日止，若因上级政策等原因需要延长工作期限的，经发包方同意后可适当延长工作期限。</w:t>
      </w:r>
      <w:r/>
    </w:p>
    <w:p>
      <w:pPr>
        <w:pStyle w:val="820"/>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8.本项目不接受联合体参与磋商。</w:t>
      </w:r>
      <w:r/>
    </w:p>
    <w:p>
      <w:pPr>
        <w:pStyle w:val="820"/>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3" w:name="_Toc28359080"/>
      <w:r/>
      <w:bookmarkStart w:id="14" w:name="_Toc28359003"/>
      <w:r/>
      <w:bookmarkStart w:id="15" w:name="_Toc35393791"/>
      <w:r/>
      <w:bookmarkStart w:id="16" w:name="_Toc35393622"/>
      <w:r/>
      <w:bookmarkStart w:id="17" w:name="_Toc38985264"/>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820"/>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20"/>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1.1法人或者其他组织的营业执照等证明文件，自然人的身份证明；</w:t>
      </w:r>
      <w:r/>
    </w:p>
    <w:p>
      <w:pPr>
        <w:pStyle w:val="820"/>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20"/>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0"/>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20"/>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0"/>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820"/>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w:t>
      </w:r>
      <w:r>
        <w:rPr>
          <w:rFonts w:hint="eastAsia" w:ascii="宋体" w:hAnsi="宋体" w:eastAsia="宋体" w:cs="宋体"/>
          <w:color w:val="000000"/>
          <w:sz w:val="24"/>
          <w:szCs w:val="24"/>
          <w:highlight w:val="none"/>
        </w:rPr>
        <w:t xml:space="preserve">本项目为非预留份额的采购项目或采购包，执行价格扣除优惠政策，所属行业为</w:t>
      </w:r>
      <w:r>
        <w:rPr>
          <w:rFonts w:hint="eastAsia" w:ascii="宋体" w:hAnsi="宋体" w:eastAsia="宋体" w:cs="宋体"/>
          <w:color w:val="000000"/>
          <w:sz w:val="24"/>
          <w:szCs w:val="24"/>
          <w:highlight w:val="none"/>
          <w:lang w:val="en-US" w:eastAsia="zh-CN"/>
        </w:rPr>
        <w:t xml:space="preserve">其他未列明行业</w:t>
      </w:r>
      <w:r>
        <w:rPr>
          <w:rFonts w:hint="eastAsia" w:ascii="宋体" w:hAnsi="宋体" w:eastAsia="宋体" w:cs="宋体"/>
          <w:color w:val="000000"/>
          <w:sz w:val="24"/>
          <w:szCs w:val="24"/>
          <w:highlight w:val="none"/>
        </w:rPr>
        <w:t xml:space="preserve">。给予小微型企业、监狱企业或残疾人福利性单位报价的20%扣除，用扣除后的价格参加评审。价格扣除比例对小型企业和微型企业同等对待，不作区分。监狱企业、残疾人福利单位属于小型、微型企业的，不重复享受政策。</w:t>
      </w:r>
      <w:r/>
    </w:p>
    <w:p>
      <w:pPr>
        <w:pStyle w:val="820"/>
        <w:ind w:firstLine="480"/>
        <w:jc w:val="both"/>
        <w:spacing w:beforeAutospacing="0" w:afterAutospacing="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lang w:val="en-US" w:eastAsia="zh-CN"/>
        </w:rPr>
        <w:t xml:space="preserve">无</w:t>
      </w:r>
      <w:r/>
    </w:p>
    <w:p>
      <w:pPr>
        <w:pStyle w:val="820"/>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文件</w:t>
      </w:r>
      <w:r/>
    </w:p>
    <w:p>
      <w:pPr>
        <w:ind w:right="0" w:firstLine="480"/>
        <w:jc w:val="both"/>
        <w:spacing w:before="0" w:after="0" w:line="276" w:lineRule="auto"/>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8" w:name="_Toc35393793"/>
      <w:r/>
      <w:bookmarkStart w:id="19" w:name="_Toc35393624"/>
      <w:r/>
      <w:bookmarkStart w:id="20" w:name="_Toc38985266"/>
      <w:r/>
      <w:bookmarkStart w:id="21" w:name="_Toc28359005"/>
      <w:r/>
      <w:bookmarkStart w:id="22" w:name="_Toc28359082"/>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18"/>
      <w:r/>
      <w:bookmarkEnd w:id="19"/>
      <w:r/>
      <w:bookmarkEnd w:id="20"/>
      <w:r/>
      <w:bookmarkEnd w:id="21"/>
      <w:r/>
      <w:bookmarkEnd w:id="22"/>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2.地点：“苏采云”系统内免费下载（投标人必须在苏采云系统中获取磋商文件，方能参与政府采购项目）；</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spacing w:line="560" w:lineRule="exact"/>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820"/>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820"/>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shd w:val="clear" w:color="auto" w:fill="auto"/>
          <w:lang w:val="en-US" w:eastAsia="zh-CN"/>
        </w:rPr>
        <w:t xml:space="preserve">2025</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11</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25</w:t>
      </w:r>
      <w:r>
        <w:rPr>
          <w:rFonts w:hint="eastAsia" w:ascii="宋体" w:hAnsi="宋体" w:eastAsia="宋体" w:cs="宋体"/>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15</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w:t>
      </w:r>
      <w:r/>
    </w:p>
    <w:p>
      <w:pPr>
        <w:pStyle w:val="820"/>
        <w:ind w:firstLine="480"/>
        <w:jc w:val="both"/>
        <w:spacing w:beforeAutospacing="0" w:afterAutospacing="0"/>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t xml:space="preserve">苏采云“不见面”开标大厅</w:t>
      </w:r>
      <w:r>
        <w:rPr>
          <w:rFonts w:hint="eastAsia" w:ascii="宋体" w:hAnsi="宋体" w:eastAsia="宋体" w:cs="宋体"/>
          <w:color w:val="000000"/>
          <w:sz w:val="24"/>
          <w:szCs w:val="24"/>
          <w:highlight w:val="none"/>
          <w:shd w:val="clear" w:color="auto" w:fill="auto"/>
          <w:lang w:eastAsia="zh-CN"/>
        </w:rPr>
        <w:t xml:space="preserve">。</w:t>
      </w:r>
      <w:r/>
    </w:p>
    <w:p>
      <w:pPr>
        <w:pStyle w:val="820"/>
        <w:ind w:firstLine="498"/>
        <w:jc w:val="both"/>
        <w:keepLines/>
        <w:keepNext/>
        <w:spacing w:before="145" w:beforeAutospacing="0" w:after="145" w:afterAutospacing="0" w:line="360" w:lineRule="auto"/>
        <w:rPr>
          <w:rFonts w:hint="eastAsia" w:ascii="宋体" w:hAnsi="宋体" w:eastAsia="宋体" w:cs="宋体"/>
          <w:b/>
          <w:color w:val="auto"/>
          <w:sz w:val="24"/>
          <w:szCs w:val="24"/>
          <w:highlight w:val="none"/>
          <w:shd w:val="clear" w:color="auto" w:fill="auto"/>
        </w:rPr>
      </w:pPr>
      <w:r/>
      <w:bookmarkStart w:id="23" w:name="_Toc35393626"/>
      <w:r/>
      <w:bookmarkStart w:id="24" w:name="_Toc35393795"/>
      <w:r/>
      <w:bookmarkStart w:id="25" w:name="_Toc38985268"/>
      <w:r>
        <w:rPr>
          <w:rFonts w:hint="eastAsia" w:ascii="宋体" w:hAnsi="宋体" w:eastAsia="宋体" w:cs="宋体"/>
          <w:b/>
          <w:color w:val="auto"/>
          <w:sz w:val="24"/>
          <w:szCs w:val="24"/>
          <w:highlight w:val="none"/>
          <w:shd w:val="clear" w:color="auto" w:fill="auto"/>
        </w:rPr>
        <w:t xml:space="preserve">五、开启</w:t>
      </w:r>
      <w:r/>
    </w:p>
    <w:p>
      <w:pPr>
        <w:pStyle w:val="820"/>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1.时间：</w:t>
      </w:r>
      <w:r>
        <w:rPr>
          <w:rFonts w:hint="eastAsia" w:ascii="宋体" w:hAnsi="宋体" w:eastAsia="宋体" w:cs="宋体"/>
          <w:color w:val="auto"/>
          <w:sz w:val="24"/>
          <w:szCs w:val="24"/>
          <w:highlight w:val="none"/>
          <w:u w:val="single"/>
          <w:shd w:val="clear" w:color="auto" w:fill="auto"/>
          <w:lang w:val="en-US" w:eastAsia="zh-CN"/>
        </w:rPr>
        <w:t xml:space="preserve">2025</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11</w:t>
      </w:r>
      <w:r>
        <w:rPr>
          <w:rFonts w:hint="eastAsia" w:ascii="宋体" w:hAnsi="宋体" w:eastAsia="宋体" w:cs="宋体"/>
          <w:color w:val="auto"/>
          <w:sz w:val="24"/>
          <w:szCs w:val="24"/>
          <w:highlight w:val="none"/>
          <w:u w:val="single"/>
          <w:shd w:val="clear" w:color="auto" w:fill="auto"/>
        </w:rPr>
        <w:t xml:space="preserve">月25</w:t>
      </w:r>
      <w:r>
        <w:rPr>
          <w:rFonts w:hint="eastAsia" w:ascii="宋体" w:hAnsi="宋体" w:eastAsia="宋体" w:cs="宋体"/>
          <w:color w:val="auto"/>
          <w:sz w:val="24"/>
          <w:szCs w:val="24"/>
          <w:highlight w:val="none"/>
          <w:u w:val="single"/>
          <w:shd w:val="clear" w:color="auto" w:fill="auto"/>
        </w:rPr>
        <w:t xml:space="preserve">日15</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000000"/>
          <w:sz w:val="24"/>
          <w:szCs w:val="24"/>
          <w:highlight w:val="none"/>
          <w:lang w:val="en-US" w:eastAsia="zh-CN"/>
        </w:rPr>
        <w:t xml:space="preserve">（北京时间）。</w:t>
      </w:r>
      <w:bookmarkEnd w:id="23"/>
      <w:r/>
      <w:bookmarkEnd w:id="24"/>
      <w:r/>
      <w:bookmarkEnd w:id="25"/>
      <w:r/>
      <w:r/>
    </w:p>
    <w:p>
      <w:pPr>
        <w:pStyle w:val="820"/>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2.地点：苏采云“不见面”开标大厅。</w:t>
      </w:r>
      <w:r/>
    </w:p>
    <w:p>
      <w:pPr>
        <w:pStyle w:val="820"/>
        <w:ind w:firstLine="498"/>
        <w:jc w:val="both"/>
        <w:keepLines/>
        <w:keepNext/>
        <w:spacing w:before="145" w:beforeAutospacing="0" w:after="145" w:afterAutospacing="0" w:line="360" w:lineRule="auto"/>
        <w:rPr>
          <w:rFonts w:hint="eastAsia" w:ascii="宋体" w:hAnsi="宋体" w:eastAsia="宋体" w:cs="宋体"/>
          <w:b/>
          <w:color w:val="auto"/>
          <w:sz w:val="24"/>
          <w:szCs w:val="24"/>
          <w:highlight w:val="none"/>
          <w:shd w:val="clear" w:color="auto" w:fill="auto"/>
          <w:lang w:val="en-US" w:eastAsia="zh-CN"/>
        </w:rPr>
      </w:pPr>
      <w:r/>
      <w:bookmarkStart w:id="26" w:name="_Toc28359094"/>
      <w:r>
        <w:rPr>
          <w:rFonts w:hint="eastAsia" w:ascii="宋体" w:hAnsi="宋体" w:eastAsia="宋体" w:cs="宋体"/>
          <w:b/>
          <w:color w:val="auto"/>
          <w:sz w:val="24"/>
          <w:szCs w:val="24"/>
          <w:highlight w:val="none"/>
          <w:shd w:val="clear" w:color="auto" w:fill="auto"/>
          <w:lang w:val="en-US" w:eastAsia="zh-CN"/>
        </w:rPr>
        <w:t xml:space="preserve">六、公告期限</w:t>
      </w:r>
      <w:bookmarkEnd w:id="26"/>
      <w:r/>
      <w:r/>
    </w:p>
    <w:p>
      <w:pPr>
        <w:pStyle w:val="820"/>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自本公告发布之日起3个工作日。</w:t>
      </w:r>
      <w:r/>
    </w:p>
    <w:p>
      <w:pPr>
        <w:pStyle w:val="820"/>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bookmarkStart w:id="27" w:name="_Toc28359018"/>
      <w:r>
        <w:rPr>
          <w:rFonts w:hint="eastAsia" w:ascii="宋体" w:hAnsi="宋体" w:eastAsia="宋体" w:cs="宋体"/>
          <w:color w:val="auto"/>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2.潜在供应商访问电子招标响应交易平台的网络地址和方法： </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2.2潜在投标人访问“苏采云”系统方法：江苏省政府采购网首页-“苏采云”链接。 </w:t>
      </w:r>
      <w:r/>
    </w:p>
    <w:p>
      <w:pPr>
        <w:pStyle w:val="820"/>
        <w:ind w:firstLine="480"/>
        <w:jc w:val="both"/>
        <w:spacing w:beforeAutospacing="0" w:afterAutospacing="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lang w:val="en-US" w:eastAsia="zh-CN"/>
        </w:rPr>
        <w:t xml:space="preserve">2.3采购文件（后缀名为“.kedt”）、供应商操作手册及政府采购客户端 工具可通过“苏采云”系统相应链接进</w:t>
      </w:r>
      <w:r>
        <w:rPr>
          <w:rFonts w:hint="eastAsia" w:ascii="宋体" w:hAnsi="宋体" w:eastAsia="宋体" w:cs="宋体"/>
          <w:color w:val="auto"/>
          <w:sz w:val="24"/>
          <w:szCs w:val="24"/>
          <w:highlight w:val="none"/>
          <w:shd w:val="clear" w:color="auto" w:fill="auto"/>
          <w:lang w:val="en-US" w:eastAsia="zh-CN" w:bidi="ar-SA"/>
        </w:rPr>
        <w:t xml:space="preserve">行下载。 </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2.4采购代理机构将数据电文形式的采购文件加载至“苏采云”系统，供潜在供应商下载或者查阅。 </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2.5请潜在投标单位提前安装相应的控件（详见《“苏采云”系统供应商操作手册》）并使用谷歌浏览器登录“苏采云”系统参与不见面开评标。 </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如潜在投标人未按上述要求操作，将自行承担所产生的风险。</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3.有关本次招标的事项若存在变动或修改，敬请及时关注“中国政府采购网”“江苏政府采购网”“盐城市政府采购网”发布的更正公告。</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4.本次磋商不收取投标保证金，不收取质量保证金。</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6.电子投标文件一份（通过系统提交）；纸质投标文件正本一份，副本四份（评审结束后由中标候选人邮寄至（代理公司），未中标单位不需要提供）。</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7.本项目支持节能环保产品（财库[2019]9号）、（财库</w:t>
      </w:r>
      <w:r>
        <w:rPr>
          <w:rFonts w:hint="eastAsia" w:ascii="宋体" w:hAnsi="宋体" w:eastAsia="宋体" w:cs="宋体"/>
          <w:color w:val="auto"/>
          <w:sz w:val="24"/>
          <w:szCs w:val="24"/>
          <w:highlight w:val="none"/>
          <w:lang w:val="en-US" w:eastAsia="zh-CN"/>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9.各投标人在投标截止时间前应当每天都上网查询，以便获取更新的澄清、修改、补充内容。凡涉及该项目的补充说明和修改，均以江苏政府采购网上的更正或补充通知为准。</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10.因供应商的系统环境、操作等原因导致报名、开评标过程中出现问题由供应商自行承担负责。</w:t>
      </w:r>
      <w:r/>
    </w:p>
    <w:p>
      <w:pPr>
        <w:pStyle w:val="820"/>
        <w:ind w:firstLine="498"/>
        <w:jc w:val="both"/>
        <w:keepLines/>
        <w:keepNext/>
        <w:spacing w:before="145" w:beforeAutospacing="0" w:after="145" w:afterAutospacing="0" w:line="36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八、凡对本次采购提出询问，请按以下方式联系。</w:t>
      </w:r>
      <w:bookmarkEnd w:id="27"/>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lang w:val="en-US" w:eastAsia="zh-CN"/>
        </w:rPr>
        <w:t xml:space="preserve">.采购人信息</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称：响水县自然资源和规划局（机关）  </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址：响水县长江路296号  </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联系人：刘苗           </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联系方式：13851104237    </w:t>
      </w:r>
      <w:bookmarkStart w:id="28" w:name="_Toc28359009"/>
      <w:r/>
      <w:bookmarkEnd w:id="28"/>
      <w:r>
        <w:rPr>
          <w:rFonts w:hint="eastAsia" w:ascii="宋体" w:hAnsi="宋体" w:eastAsia="宋体" w:cs="宋体"/>
          <w:color w:val="auto"/>
          <w:sz w:val="24"/>
          <w:szCs w:val="24"/>
          <w:highlight w:val="none"/>
          <w:lang w:val="en-US" w:eastAsia="zh-CN"/>
        </w:rPr>
        <w:t xml:space="preserve">       </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称：正中国际项目管理集团有限公司  </w:t>
      </w:r>
      <w:r/>
    </w:p>
    <w:p>
      <w:pPr>
        <w:pStyle w:val="820"/>
        <w:ind w:firstLine="480"/>
        <w:jc w:val="both"/>
        <w:spacing w:beforeAutospacing="0" w:afterAutospacing="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color w:val="auto"/>
          <w:sz w:val="24"/>
          <w:szCs w:val="24"/>
          <w:highlight w:val="none"/>
          <w:lang w:val="en-US" w:eastAsia="zh-CN"/>
        </w:rPr>
        <w:t xml:space="preserve">地 址：盐城市人民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南路紫薇曼哈顿7楼 </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联系人：邵先生                      </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联系方式：15195195950              </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pStyle w:val="820"/>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项目联系人：邵先生 </w:t>
      </w:r>
      <w:r/>
    </w:p>
    <w:p>
      <w:pPr>
        <w:pStyle w:val="820"/>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电　 　 话：15195195950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响水县自然资源和规划局</w:t>
      </w:r>
      <w:r/>
    </w:p>
    <w:p>
      <w:pPr>
        <w:jc w:val="righ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2025年11月14日</w:t>
      </w:r>
      <w:r/>
    </w:p>
    <w:p>
      <w:pPr>
        <w:pStyle w:val="820"/>
        <w:ind w:right="840"/>
        <w:jc w:val="center"/>
        <w:spacing w:beforeAutospacing="0" w:afterAutospacing="0"/>
        <w:rPr>
          <w:rFonts w:hint="eastAsia" w:ascii="黑体" w:hAnsi="宋体" w:eastAsia="黑体" w:cs="黑体"/>
          <w:b/>
          <w:color w:val="auto"/>
          <w:sz w:val="44"/>
          <w:szCs w:val="44"/>
          <w:highlight w:val="none"/>
        </w:rPr>
      </w:pPr>
      <w:r/>
      <w:bookmarkStart w:id="29" w:name="_Toc120614211"/>
      <w:r/>
      <w:r/>
    </w:p>
    <w:p>
      <w:pPr>
        <w:pStyle w:val="820"/>
        <w:ind w:right="840"/>
        <w:jc w:val="center"/>
        <w:spacing w:beforeAutospacing="0" w:afterAutospacing="0"/>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820"/>
        <w:ind w:right="840"/>
        <w:jc w:val="center"/>
        <w:spacing w:beforeAutospacing="0" w:afterAutospacing="0"/>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820"/>
        <w:ind w:right="840"/>
        <w:jc w:val="center"/>
        <w:spacing w:beforeAutospacing="0" w:afterAutospacing="0"/>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820"/>
        <w:ind w:right="840"/>
        <w:jc w:val="center"/>
        <w:spacing w:beforeAutospacing="0" w:afterAutospacing="0"/>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820"/>
        <w:ind w:right="840"/>
        <w:jc w:val="center"/>
        <w:spacing w:beforeAutospacing="0" w:afterAutospacing="0"/>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820"/>
        <w:ind w:right="840"/>
        <w:jc w:val="center"/>
        <w:spacing w:beforeAutospacing="0" w:afterAutospacing="0"/>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820"/>
        <w:ind w:right="840"/>
        <w:jc w:val="center"/>
        <w:spacing w:beforeAutospacing="0" w:afterAutospacing="0"/>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820"/>
        <w:ind w:right="840"/>
        <w:jc w:val="center"/>
        <w:spacing w:beforeAutospacing="0" w:afterAutospacing="0"/>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820"/>
        <w:ind w:right="840"/>
        <w:jc w:val="center"/>
        <w:spacing w:beforeAutospacing="0" w:afterAutospacing="0"/>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820"/>
        <w:ind w:right="840"/>
        <w:jc w:val="center"/>
        <w:spacing w:beforeAutospacing="0" w:afterAutospacing="0"/>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820"/>
        <w:ind w:right="840"/>
        <w:jc w:val="center"/>
        <w:spacing w:beforeAutospacing="0" w:afterAutospacing="0"/>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820"/>
        <w:ind w:right="840"/>
        <w:jc w:val="center"/>
        <w:spacing w:beforeAutospacing="0" w:afterAutospacing="0"/>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820"/>
        <w:ind w:right="840"/>
        <w:jc w:val="center"/>
        <w:spacing w:beforeAutospacing="0" w:afterAutospacing="0"/>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820"/>
        <w:ind w:right="840"/>
        <w:jc w:val="center"/>
        <w:spacing w:beforeAutospacing="0" w:afterAutospacing="0"/>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820"/>
        <w:ind w:right="840"/>
        <w:jc w:val="center"/>
        <w:spacing w:beforeAutospacing="0" w:afterAutospacing="0"/>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820"/>
        <w:ind w:right="840"/>
        <w:jc w:val="center"/>
        <w:spacing w:beforeAutospacing="0" w:afterAutospacing="0"/>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820"/>
        <w:ind w:right="840"/>
        <w:jc w:val="left"/>
        <w:spacing w:beforeAutospacing="0" w:afterAutospacing="0"/>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820"/>
        <w:ind w:right="840"/>
        <w:jc w:val="center"/>
        <w:spacing w:beforeAutospacing="0" w:afterAutospacing="0"/>
        <w:rPr>
          <w:color w:val="auto"/>
          <w:highlight w:val="none"/>
        </w:rPr>
      </w:pPr>
      <w:r>
        <w:rPr>
          <w:rFonts w:hint="eastAsia" w:ascii="黑体" w:hAnsi="宋体" w:eastAsia="黑体" w:cs="黑体"/>
          <w:b/>
          <w:color w:val="auto"/>
          <w:sz w:val="44"/>
          <w:szCs w:val="44"/>
          <w:highlight w:val="none"/>
        </w:rPr>
        <w:t xml:space="preserve">第二章  </w:t>
      </w:r>
      <w:bookmarkEnd w:id="29"/>
      <w:r>
        <w:rPr>
          <w:rFonts w:hint="eastAsia" w:ascii="黑体" w:hAnsi="宋体" w:eastAsia="黑体" w:cs="黑体"/>
          <w:b/>
          <w:color w:val="auto"/>
          <w:sz w:val="44"/>
          <w:szCs w:val="44"/>
          <w:highlight w:val="none"/>
        </w:rPr>
        <w:t xml:space="preserve">供应商须知</w:t>
      </w:r>
      <w:r/>
    </w:p>
    <w:p>
      <w:pPr>
        <w:pStyle w:val="820"/>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30" w:name="_Toc513029203"/>
      <w:r/>
      <w:bookmarkStart w:id="31" w:name="_Toc20823275"/>
      <w:r/>
      <w:bookmarkStart w:id="32" w:name="_Toc16938519"/>
      <w:r/>
      <w:bookmarkStart w:id="33" w:name="_Toc120614214"/>
      <w:r>
        <w:rPr>
          <w:rFonts w:hint="eastAsia" w:ascii="宋体" w:hAnsi="宋体" w:eastAsia="宋体" w:cs="宋体"/>
          <w:b/>
          <w:color w:val="auto"/>
          <w:sz w:val="24"/>
          <w:szCs w:val="24"/>
          <w:highlight w:val="none"/>
        </w:rPr>
        <w:t xml:space="preserve">一、总则</w:t>
      </w:r>
      <w:bookmarkEnd w:id="30"/>
      <w:r/>
      <w:bookmarkEnd w:id="31"/>
      <w:r/>
      <w:bookmarkEnd w:id="32"/>
      <w:r/>
      <w:bookmarkEnd w:id="33"/>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bookmarkStart w:id="34" w:name="_Toc20823276"/>
      <w:r/>
      <w:bookmarkStart w:id="35" w:name="_Toc513029204"/>
      <w:r/>
      <w:bookmarkStart w:id="36" w:name="_Toc16938520"/>
      <w:r/>
      <w:bookmarkStart w:id="37" w:name="_Toc458694821"/>
      <w:r/>
      <w:bookmarkStart w:id="38" w:name="_Hlt16619475"/>
      <w:r>
        <w:rPr>
          <w:rFonts w:hint="eastAsia" w:ascii="宋体" w:hAnsi="宋体" w:eastAsia="宋体" w:cs="宋体"/>
          <w:color w:val="auto"/>
          <w:sz w:val="24"/>
          <w:szCs w:val="24"/>
          <w:highlight w:val="none"/>
        </w:rPr>
        <w:t xml:space="preserve">1</w:t>
      </w:r>
      <w:bookmarkEnd w:id="34"/>
      <w:r>
        <w:rPr>
          <w:rFonts w:hint="eastAsia" w:ascii="宋体" w:hAnsi="宋体" w:eastAsia="宋体" w:cs="宋体"/>
          <w:color w:val="auto"/>
          <w:sz w:val="24"/>
          <w:szCs w:val="24"/>
          <w:highlight w:val="none"/>
        </w:rPr>
        <w:t xml:space="preserve">、采购方式</w:t>
      </w:r>
      <w:bookmarkEnd w:id="35"/>
      <w:r/>
      <w:bookmarkEnd w:id="36"/>
      <w:r/>
      <w:bookmarkEnd w:id="37"/>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bookmarkStart w:id="39" w:name="_Toc20823277"/>
      <w:r/>
      <w:bookmarkStart w:id="40" w:name="_Toc16938521"/>
      <w:r/>
      <w:bookmarkStart w:id="41" w:name="_Toc513029205"/>
      <w:r>
        <w:rPr>
          <w:rFonts w:hint="eastAsia" w:ascii="宋体" w:hAnsi="宋体" w:eastAsia="宋体" w:cs="宋体"/>
          <w:color w:val="auto"/>
          <w:sz w:val="24"/>
          <w:szCs w:val="24"/>
          <w:highlight w:val="none"/>
        </w:rPr>
        <w:t xml:space="preserve">2、合格的</w:t>
      </w:r>
      <w:bookmarkEnd w:id="39"/>
      <w:r/>
      <w:bookmarkEnd w:id="40"/>
      <w:r/>
      <w:bookmarkEnd w:id="41"/>
      <w:r>
        <w:rPr>
          <w:rFonts w:hint="eastAsia" w:ascii="宋体" w:hAnsi="宋体" w:eastAsia="宋体" w:cs="宋体"/>
          <w:color w:val="auto"/>
          <w:sz w:val="24"/>
          <w:szCs w:val="24"/>
          <w:highlight w:val="none"/>
        </w:rPr>
        <w:t xml:space="preserve">供应商</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bookmarkStart w:id="42" w:name="_Toc16938522"/>
      <w:r/>
      <w:bookmarkStart w:id="43" w:name="_Toc20823278"/>
      <w:r/>
      <w:bookmarkStart w:id="44" w:name="_Toc513029206"/>
      <w:r>
        <w:rPr>
          <w:rFonts w:hint="eastAsia" w:ascii="宋体" w:hAnsi="宋体" w:eastAsia="宋体" w:cs="宋体"/>
          <w:color w:val="auto"/>
          <w:sz w:val="24"/>
          <w:szCs w:val="24"/>
          <w:highlight w:val="none"/>
        </w:rPr>
        <w:t xml:space="preserve">3、适用法律</w:t>
      </w:r>
      <w:bookmarkEnd w:id="42"/>
      <w:r/>
      <w:bookmarkEnd w:id="43"/>
      <w:r/>
      <w:bookmarkEnd w:id="44"/>
      <w:r/>
      <w:r/>
    </w:p>
    <w:p>
      <w:pPr>
        <w:pStyle w:val="820"/>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bookmarkStart w:id="45" w:name="_Toc20823279"/>
      <w:r/>
      <w:bookmarkStart w:id="46" w:name="_Toc513029207"/>
      <w:r/>
      <w:bookmarkStart w:id="47" w:name="_Toc462564067"/>
      <w:r/>
      <w:bookmarkStart w:id="48" w:name="_Toc16938523"/>
      <w:r>
        <w:rPr>
          <w:rFonts w:hint="eastAsia" w:ascii="宋体" w:hAnsi="宋体" w:eastAsia="宋体" w:cs="宋体"/>
          <w:color w:val="auto"/>
          <w:sz w:val="24"/>
          <w:szCs w:val="24"/>
          <w:highlight w:val="none"/>
        </w:rPr>
        <w:t xml:space="preserve">4、磋商费用</w:t>
      </w:r>
      <w:bookmarkEnd w:id="45"/>
      <w:r/>
      <w:bookmarkEnd w:id="46"/>
      <w:r/>
      <w:bookmarkEnd w:id="47"/>
      <w:r/>
      <w:bookmarkEnd w:id="48"/>
      <w:r/>
      <w:r/>
    </w:p>
    <w:p>
      <w:pPr>
        <w:pStyle w:val="820"/>
        <w:numPr>
          <w:ilvl w:val="0"/>
          <w:numId w:val="0"/>
        </w:numPr>
        <w:ind w:firstLine="48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采购人和代理机构</w:t>
      </w:r>
      <w:r>
        <w:rPr>
          <w:rFonts w:hint="eastAsia" w:ascii="宋体" w:hAnsi="宋体" w:eastAsia="宋体" w:cs="宋体"/>
          <w:color w:val="auto"/>
          <w:sz w:val="24"/>
          <w:szCs w:val="24"/>
          <w:highlight w:val="none"/>
        </w:rPr>
        <w:t xml:space="preserve">在任何情况下均无义务和责任承担这些费用。</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公示结束后领取中标通知书前须向招标代理机构支付招标综合服务费（收费标准按苏招协【2022】002号文计取），并一次性付清，上述费用含在投标综合报价中，不得单列，采购人不再另行支付此项费用。</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和采购人不收取标书工本费与成交服务费。</w:t>
      </w:r>
      <w:r/>
    </w:p>
    <w:p>
      <w:pPr>
        <w:pStyle w:val="820"/>
        <w:ind w:firstLine="301"/>
        <w:jc w:val="both"/>
        <w:keepLines/>
        <w:keepNext/>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820"/>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49" w:name="_Toc16938525"/>
      <w:r/>
      <w:bookmarkStart w:id="50" w:name="_Toc20823281"/>
      <w:r/>
      <w:bookmarkStart w:id="51" w:name="_Toc513029209"/>
      <w:r/>
      <w:bookmarkStart w:id="52" w:name="_Toc120614215"/>
      <w:r>
        <w:rPr>
          <w:rFonts w:hint="eastAsia" w:ascii="宋体" w:hAnsi="宋体" w:eastAsia="宋体" w:cs="宋体"/>
          <w:b/>
          <w:color w:val="auto"/>
          <w:sz w:val="24"/>
          <w:szCs w:val="24"/>
          <w:highlight w:val="none"/>
        </w:rPr>
        <w:t xml:space="preserve">二、</w:t>
      </w:r>
      <w:bookmarkEnd w:id="49"/>
      <w:r/>
      <w:bookmarkEnd w:id="50"/>
      <w:r/>
      <w:bookmarkEnd w:id="51"/>
      <w:r/>
      <w:bookmarkEnd w:id="52"/>
      <w:r>
        <w:rPr>
          <w:rFonts w:hint="eastAsia" w:ascii="宋体" w:hAnsi="宋体" w:eastAsia="宋体" w:cs="宋体"/>
          <w:b/>
          <w:color w:val="auto"/>
          <w:sz w:val="24"/>
          <w:szCs w:val="24"/>
          <w:highlight w:val="none"/>
        </w:rPr>
        <w:t xml:space="preserve">磋商文件</w:t>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bookmarkStart w:id="53" w:name="_Toc513029210"/>
      <w:r/>
      <w:bookmarkStart w:id="54" w:name="_Toc20823282"/>
      <w:r/>
      <w:bookmarkStart w:id="55" w:name="_Toc16938526"/>
      <w:r>
        <w:rPr>
          <w:rFonts w:hint="eastAsia" w:ascii="宋体" w:hAnsi="宋体" w:eastAsia="宋体" w:cs="宋体"/>
          <w:color w:val="auto"/>
          <w:sz w:val="24"/>
          <w:szCs w:val="24"/>
          <w:highlight w:val="none"/>
        </w:rPr>
        <w:t xml:space="preserve">6、磋商文件构成</w:t>
      </w:r>
      <w:bookmarkEnd w:id="53"/>
      <w:r/>
      <w:bookmarkEnd w:id="54"/>
      <w:r/>
      <w:bookmarkEnd w:id="55"/>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820"/>
        <w:ind w:firstLine="360"/>
        <w:jc w:val="both"/>
        <w:spacing w:beforeAutospacing="0" w:afterAutospacing="0"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820"/>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820"/>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20"/>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20"/>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820"/>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联系解决。</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20"/>
        <w:ind w:firstLine="560"/>
        <w:jc w:val="both"/>
        <w:keepLines/>
        <w:keepNext/>
        <w:spacing w:beforeAutospacing="0" w:afterAutospacing="0"/>
        <w:rPr>
          <w:rFonts w:hint="eastAsia" w:ascii="宋体" w:hAnsi="宋体" w:eastAsia="宋体" w:cs="宋体"/>
          <w:color w:val="auto"/>
          <w:sz w:val="24"/>
          <w:szCs w:val="24"/>
          <w:highlight w:val="none"/>
        </w:rPr>
      </w:pPr>
      <w:r/>
      <w:bookmarkStart w:id="56" w:name="_Toc513029211"/>
      <w:r/>
      <w:bookmarkStart w:id="57" w:name="_Toc462564070"/>
      <w:r/>
      <w:bookmarkStart w:id="58" w:name="_Toc20823283"/>
      <w:r/>
      <w:bookmarkStart w:id="59" w:name="_Toc16938527"/>
      <w:r>
        <w:rPr>
          <w:rFonts w:hint="eastAsia" w:ascii="宋体" w:hAnsi="宋体" w:eastAsia="宋体" w:cs="宋体"/>
          <w:color w:val="auto"/>
          <w:sz w:val="24"/>
          <w:szCs w:val="24"/>
          <w:highlight w:val="none"/>
        </w:rPr>
        <w:t xml:space="preserve">7、磋商文件的澄清</w:t>
      </w:r>
      <w:bookmarkEnd w:id="56"/>
      <w:r/>
      <w:bookmarkEnd w:id="57"/>
      <w:r/>
      <w:bookmarkEnd w:id="58"/>
      <w:r/>
      <w:bookmarkEnd w:id="59"/>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pStyle w:val="820"/>
        <w:ind w:firstLine="560"/>
        <w:jc w:val="both"/>
        <w:keepLines/>
        <w:keepNext/>
        <w:spacing w:beforeAutospacing="0" w:afterAutospacing="0"/>
        <w:rPr>
          <w:rFonts w:hint="eastAsia" w:ascii="宋体" w:hAnsi="宋体" w:eastAsia="宋体" w:cs="宋体"/>
          <w:color w:val="auto"/>
          <w:sz w:val="24"/>
          <w:szCs w:val="24"/>
          <w:highlight w:val="none"/>
        </w:rPr>
      </w:pPr>
      <w:r/>
      <w:bookmarkStart w:id="60" w:name="_Toc462564071"/>
      <w:r/>
      <w:bookmarkStart w:id="61" w:name="_Toc16938528"/>
      <w:r/>
      <w:bookmarkStart w:id="62" w:name="_Toc20823284"/>
      <w:r/>
      <w:bookmarkStart w:id="63" w:name="_Toc513029212"/>
      <w:r>
        <w:rPr>
          <w:rFonts w:hint="eastAsia" w:ascii="宋体" w:hAnsi="宋体" w:eastAsia="宋体" w:cs="宋体"/>
          <w:color w:val="auto"/>
          <w:sz w:val="24"/>
          <w:szCs w:val="24"/>
          <w:highlight w:val="none"/>
        </w:rPr>
        <w:t xml:space="preserve">8、磋商文件的澄清和修改</w:t>
      </w:r>
      <w:bookmarkEnd w:id="60"/>
      <w:r/>
      <w:bookmarkEnd w:id="61"/>
      <w:r/>
      <w:bookmarkEnd w:id="62"/>
      <w:r/>
      <w:bookmarkEnd w:id="63"/>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可以对磋商文件进行澄清和修改, 澄清或者修改的内容作为磋商文件的组成部分。澄清或者修改的内容可能影响响应文件编制的，采购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盐城市政府采购网”上发布书面更正公告形式通知所有获取磋商文件的供应商, 更正公告内容将作为磋商文件的组成部分，并对供应商具有约束力。不足5日的，采购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将顺延提交首次响应文件截止时间。</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82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64" w:name="_Toc513029213"/>
      <w:r/>
      <w:bookmarkStart w:id="65" w:name="_Toc16938529"/>
      <w:r/>
      <w:bookmarkStart w:id="66" w:name="_Toc20823285"/>
      <w:r/>
      <w:bookmarkStart w:id="67" w:name="_Toc120614216"/>
      <w:r/>
      <w:bookmarkStart w:id="68" w:name="_Toc462564072"/>
      <w:r>
        <w:rPr>
          <w:rFonts w:hint="eastAsia" w:ascii="宋体" w:hAnsi="宋体" w:eastAsia="宋体" w:cs="宋体"/>
          <w:b/>
          <w:color w:val="auto"/>
          <w:sz w:val="24"/>
          <w:szCs w:val="24"/>
          <w:highlight w:val="none"/>
        </w:rPr>
        <w:t xml:space="preserve">三、响应文件的编制</w:t>
      </w:r>
      <w:bookmarkEnd w:id="64"/>
      <w:r/>
      <w:bookmarkEnd w:id="65"/>
      <w:r/>
      <w:bookmarkEnd w:id="66"/>
      <w:r/>
      <w:bookmarkEnd w:id="67"/>
      <w:r/>
      <w:bookmarkEnd w:id="68"/>
      <w:r/>
      <w:r/>
    </w:p>
    <w:p>
      <w:pPr>
        <w:pStyle w:val="820"/>
        <w:ind w:firstLine="560"/>
        <w:jc w:val="both"/>
        <w:keepLines/>
        <w:keepNext/>
        <w:spacing w:beforeAutospacing="0" w:afterAutospacing="0"/>
        <w:rPr>
          <w:rFonts w:hint="eastAsia" w:ascii="宋体" w:hAnsi="宋体" w:eastAsia="宋体" w:cs="宋体"/>
          <w:color w:val="auto"/>
          <w:sz w:val="24"/>
          <w:szCs w:val="24"/>
          <w:highlight w:val="none"/>
        </w:rPr>
      </w:pPr>
      <w:r/>
      <w:bookmarkStart w:id="69" w:name="_Toc513029214"/>
      <w:r/>
      <w:bookmarkStart w:id="70" w:name="_Toc20823286"/>
      <w:r/>
      <w:bookmarkStart w:id="71" w:name="_Toc462564073"/>
      <w:r/>
      <w:bookmarkStart w:id="72" w:name="_Toc16938530"/>
      <w:r>
        <w:rPr>
          <w:rFonts w:hint="eastAsia" w:ascii="宋体" w:hAnsi="宋体" w:eastAsia="宋体" w:cs="宋体"/>
          <w:color w:val="auto"/>
          <w:sz w:val="24"/>
          <w:szCs w:val="24"/>
          <w:highlight w:val="none"/>
        </w:rPr>
        <w:t xml:space="preserve">9、响应文件的语言及度量衡单位</w:t>
      </w:r>
      <w:bookmarkEnd w:id="69"/>
      <w:r/>
      <w:bookmarkEnd w:id="70"/>
      <w:r/>
      <w:bookmarkEnd w:id="71"/>
      <w:r/>
      <w:bookmarkEnd w:id="72"/>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w:t>
      </w:r>
      <w:r>
        <w:rPr>
          <w:rFonts w:hint="eastAsia" w:ascii="宋体" w:hAnsi="宋体" w:eastAsia="宋体" w:cs="宋体"/>
          <w:color w:val="auto"/>
          <w:sz w:val="24"/>
          <w:szCs w:val="24"/>
          <w:highlight w:val="none"/>
          <w:lang w:val="en-US" w:eastAsia="zh-CN"/>
        </w:rPr>
        <w:t xml:space="preserve">人和代理机构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bookmarkStart w:id="73" w:name="_Toc16938531"/>
      <w:r/>
      <w:bookmarkStart w:id="74" w:name="_Toc462564074"/>
      <w:r/>
      <w:bookmarkStart w:id="75" w:name="_Toc513029215"/>
      <w:r/>
      <w:bookmarkStart w:id="76" w:name="_Toc20823287"/>
      <w:r>
        <w:rPr>
          <w:rFonts w:hint="eastAsia" w:ascii="宋体" w:hAnsi="宋体" w:eastAsia="宋体" w:cs="宋体"/>
          <w:color w:val="auto"/>
          <w:sz w:val="24"/>
          <w:szCs w:val="24"/>
          <w:highlight w:val="none"/>
        </w:rPr>
        <w:t xml:space="preserve">10、响应文件构成</w:t>
      </w:r>
      <w:bookmarkEnd w:id="73"/>
      <w:r/>
      <w:bookmarkEnd w:id="74"/>
      <w:r/>
      <w:bookmarkEnd w:id="75"/>
      <w:r/>
      <w:bookmarkEnd w:id="76"/>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10.1供应商编写的响应文件应包括资格证明文件、符合性证明文件、分项报价表、技术要求响应及偏离表、商务要求响应及偏离表、其他证明文件、磋商响应函等部分。</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盐城市政府采购网”发布的磋商文件为准。</w:t>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bookmarkStart w:id="77" w:name="_Toc49090507"/>
      <w:r/>
      <w:bookmarkStart w:id="78" w:name="_Toc513029219"/>
      <w:r/>
      <w:bookmarkStart w:id="79" w:name="_Toc14577355"/>
      <w:r/>
      <w:bookmarkStart w:id="80" w:name="_Toc14577357"/>
      <w:r/>
      <w:bookmarkStart w:id="81" w:name="_Toc513029216"/>
      <w:r/>
      <w:bookmarkStart w:id="82" w:name="_Toc49090509"/>
      <w:r/>
      <w:bookmarkStart w:id="83" w:name="_Toc49090508"/>
      <w:r/>
      <w:bookmarkStart w:id="84" w:name="_Toc14577354"/>
      <w:r/>
      <w:bookmarkStart w:id="85" w:name="_Hlt26670360"/>
      <w:r/>
      <w:bookmarkStart w:id="86" w:name="_Hlt26954838"/>
      <w:r/>
      <w:bookmarkStart w:id="87" w:name="_Hlt26668975"/>
      <w:r>
        <w:rPr>
          <w:rFonts w:hint="eastAsia" w:ascii="宋体" w:hAnsi="宋体" w:eastAsia="宋体" w:cs="宋体"/>
          <w:color w:val="auto"/>
          <w:sz w:val="24"/>
          <w:szCs w:val="24"/>
          <w:highlight w:val="none"/>
        </w:rPr>
        <w:t xml:space="preserve">11、证明磋商响应标的符合磋商文件规定的文件</w:t>
      </w:r>
      <w:bookmarkEnd w:id="77"/>
      <w:r/>
      <w:bookmarkEnd w:id="78"/>
      <w:r/>
      <w:bookmarkEnd w:id="79"/>
      <w:r/>
      <w:bookmarkEnd w:id="80"/>
      <w:r/>
      <w:bookmarkEnd w:id="81"/>
      <w:r/>
      <w:bookmarkEnd w:id="82"/>
      <w:r/>
      <w:bookmarkEnd w:id="83"/>
      <w:r/>
      <w:bookmarkEnd w:id="84"/>
      <w:r/>
      <w:r/>
    </w:p>
    <w:p>
      <w:pPr>
        <w:pStyle w:val="8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11.1供应商应按照磋商文件要求提交证明文件，证明其及磋商响应标的符合磋商文件规定。</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bookmarkStart w:id="88" w:name="_Hlt26954848"/>
      <w:r/>
      <w:bookmarkStart w:id="89" w:name="_Hlt26954846"/>
      <w:r/>
      <w:bookmarkStart w:id="90" w:name="_Hlt26670482"/>
      <w:r/>
      <w:bookmarkStart w:id="91" w:name="_Hlt26670486"/>
      <w:r/>
      <w:bookmarkStart w:id="92" w:name="_Hlt26954731"/>
      <w:r>
        <w:rPr>
          <w:rFonts w:hint="eastAsia" w:ascii="宋体" w:hAnsi="宋体" w:eastAsia="宋体" w:cs="宋体"/>
          <w:color w:val="auto"/>
          <w:sz w:val="24"/>
          <w:szCs w:val="24"/>
          <w:highlight w:val="none"/>
        </w:rPr>
        <w:t xml:space="preserve">13、技术要求响应及偏离表、商务要求响应及偏离表</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14.3供应商需根据磋商文件要求提供磋商响应标的的主要组成部分、功能设计、实现思路及关键技术等。</w:t>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bookmarkStart w:id="93" w:name="_Toc49090510"/>
      <w:r/>
      <w:bookmarkStart w:id="94" w:name="_Toc14577359"/>
      <w:r>
        <w:rPr>
          <w:rFonts w:hint="eastAsia" w:ascii="宋体" w:hAnsi="宋体" w:eastAsia="宋体" w:cs="宋体"/>
          <w:color w:val="auto"/>
          <w:sz w:val="24"/>
          <w:szCs w:val="24"/>
          <w:highlight w:val="none"/>
        </w:rPr>
        <w:t xml:space="preserve">15、磋商响应函</w:t>
      </w:r>
      <w:bookmarkEnd w:id="93"/>
      <w:r/>
      <w:bookmarkEnd w:id="94"/>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bookmarkStart w:id="95" w:name="_Toc49090511"/>
      <w:r/>
      <w:bookmarkStart w:id="96" w:name="_Toc14577360"/>
      <w:r>
        <w:rPr>
          <w:rFonts w:hint="eastAsia" w:ascii="宋体" w:hAnsi="宋体" w:eastAsia="宋体" w:cs="宋体"/>
          <w:color w:val="auto"/>
          <w:sz w:val="24"/>
          <w:szCs w:val="24"/>
          <w:highlight w:val="none"/>
        </w:rPr>
        <w:t xml:space="preserve">16、磋商有效期</w:t>
      </w:r>
      <w:bookmarkEnd w:id="95"/>
      <w:r/>
      <w:bookmarkEnd w:id="96"/>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82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97" w:name="_Toc20823296"/>
      <w:r/>
      <w:bookmarkStart w:id="98" w:name="_Toc513029224"/>
      <w:r/>
      <w:bookmarkStart w:id="99" w:name="_Toc120614217"/>
      <w:r/>
      <w:bookmarkStart w:id="100" w:name="_Toc16938540"/>
      <w:r/>
      <w:bookmarkStart w:id="101" w:name="_Hlt26954852"/>
      <w:r/>
      <w:bookmarkStart w:id="102" w:name="_Hlt26954739"/>
      <w:r>
        <w:rPr>
          <w:rFonts w:hint="eastAsia" w:ascii="宋体" w:hAnsi="宋体" w:eastAsia="宋体" w:cs="宋体"/>
          <w:b/>
          <w:color w:val="auto"/>
          <w:sz w:val="24"/>
          <w:szCs w:val="24"/>
          <w:highlight w:val="none"/>
        </w:rPr>
        <w:t xml:space="preserve">四、响应文件的递交</w:t>
      </w:r>
      <w:bookmarkEnd w:id="97"/>
      <w:r/>
      <w:bookmarkEnd w:id="98"/>
      <w:r/>
      <w:bookmarkEnd w:id="99"/>
      <w:r/>
      <w:bookmarkEnd w:id="100"/>
      <w:r/>
      <w:r/>
    </w:p>
    <w:p>
      <w:pPr>
        <w:pStyle w:val="820"/>
        <w:ind w:firstLine="560"/>
        <w:jc w:val="both"/>
        <w:keepLines/>
        <w:keepNext/>
        <w:spacing w:beforeAutospacing="0" w:afterAutospacing="0"/>
        <w:rPr>
          <w:rFonts w:hint="eastAsia" w:ascii="宋体" w:hAnsi="宋体" w:eastAsia="宋体" w:cs="宋体"/>
          <w:color w:val="auto"/>
          <w:sz w:val="24"/>
          <w:szCs w:val="24"/>
          <w:highlight w:val="none"/>
        </w:rPr>
      </w:pPr>
      <w:r/>
      <w:bookmarkStart w:id="103" w:name="_Toc513029225"/>
      <w:r/>
      <w:bookmarkStart w:id="104" w:name="_Toc16938541"/>
      <w:r/>
      <w:bookmarkStart w:id="105" w:name="_Toc20823297"/>
      <w:r/>
      <w:bookmarkStart w:id="106" w:name="_Toc462564084"/>
      <w:r>
        <w:rPr>
          <w:rFonts w:hint="eastAsia" w:ascii="宋体" w:hAnsi="宋体" w:eastAsia="宋体" w:cs="宋体"/>
          <w:color w:val="auto"/>
          <w:sz w:val="24"/>
          <w:szCs w:val="24"/>
          <w:highlight w:val="none"/>
        </w:rPr>
        <w:t xml:space="preserve">18、电子磋商</w:t>
      </w:r>
      <w:bookmarkEnd w:id="103"/>
      <w:r/>
      <w:bookmarkEnd w:id="104"/>
      <w:r/>
      <w:bookmarkEnd w:id="105"/>
      <w:r/>
      <w:bookmarkEnd w:id="106"/>
      <w:r>
        <w:rPr>
          <w:rFonts w:hint="eastAsia" w:ascii="宋体" w:hAnsi="宋体" w:eastAsia="宋体" w:cs="宋体"/>
          <w:color w:val="auto"/>
          <w:sz w:val="24"/>
          <w:szCs w:val="24"/>
          <w:highlight w:val="none"/>
        </w:rPr>
        <w:t xml:space="preserve">响应文件的递交</w:t>
      </w:r>
      <w:r/>
    </w:p>
    <w:p>
      <w:pPr>
        <w:pStyle w:val="820"/>
        <w:ind w:firstLine="60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07" w:name="_Toc20823298"/>
      <w:r/>
      <w:bookmarkEnd w:id="107"/>
      <w:r/>
      <w:bookmarkStart w:id="108" w:name="_Toc16938542"/>
      <w:r/>
      <w:bookmarkEnd w:id="108"/>
      <w:r/>
      <w:bookmarkStart w:id="109" w:name="_Toc513029226"/>
      <w:r/>
      <w:r/>
    </w:p>
    <w:p>
      <w:pPr>
        <w:pStyle w:val="820"/>
        <w:ind w:firstLine="560"/>
        <w:jc w:val="both"/>
        <w:keepLines/>
        <w:keepNext/>
        <w:spacing w:before="280" w:beforeAutospacing="0" w:after="290" w:afterAutospacing="0" w:line="37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19.1供应商上传电子响应文件的时间不得迟于磋商公告中规定的提交响应文件截止时间。</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bookmarkStart w:id="110" w:name="_Toc20823299"/>
      <w:r/>
      <w:bookmarkStart w:id="111" w:name="_Toc16938543"/>
      <w:r/>
      <w:bookmarkStart w:id="112" w:name="_Toc513029227"/>
      <w:r>
        <w:rPr>
          <w:rFonts w:hint="eastAsia" w:ascii="宋体" w:hAnsi="宋体" w:eastAsia="宋体" w:cs="宋体"/>
          <w:color w:val="auto"/>
          <w:sz w:val="24"/>
          <w:szCs w:val="24"/>
          <w:highlight w:val="none"/>
        </w:rPr>
        <w:t xml:space="preserve">20、响应文件</w:t>
      </w:r>
      <w:bookmarkEnd w:id="110"/>
      <w:r/>
      <w:bookmarkEnd w:id="111"/>
      <w:r/>
      <w:bookmarkEnd w:id="112"/>
      <w:r>
        <w:rPr>
          <w:rFonts w:hint="eastAsia" w:ascii="宋体" w:hAnsi="宋体" w:eastAsia="宋体" w:cs="宋体"/>
          <w:color w:val="auto"/>
          <w:sz w:val="24"/>
          <w:szCs w:val="24"/>
          <w:highlight w:val="none"/>
        </w:rPr>
        <w:t xml:space="preserve">的拒收</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bookmarkStart w:id="113" w:name="_Toc513029228"/>
      <w:r/>
      <w:bookmarkStart w:id="114" w:name="_Toc16938544"/>
      <w:r/>
      <w:bookmarkStart w:id="115" w:name="_Toc20823300"/>
      <w:r>
        <w:rPr>
          <w:rFonts w:hint="eastAsia" w:ascii="宋体" w:hAnsi="宋体" w:eastAsia="宋体" w:cs="宋体"/>
          <w:color w:val="auto"/>
          <w:sz w:val="24"/>
          <w:szCs w:val="24"/>
          <w:highlight w:val="none"/>
        </w:rPr>
        <w:t xml:space="preserve">21、响应文件的撤回和修改</w:t>
      </w:r>
      <w:bookmarkEnd w:id="113"/>
      <w:r/>
      <w:bookmarkEnd w:id="114"/>
      <w:r/>
      <w:bookmarkEnd w:id="115"/>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pStyle w:val="82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16" w:name="_Toc513029229"/>
      <w:r/>
      <w:bookmarkStart w:id="117" w:name="_Toc120614218"/>
      <w:r/>
      <w:bookmarkStart w:id="118" w:name="_Toc20823301"/>
      <w:r/>
      <w:bookmarkStart w:id="119" w:name="_Toc16938545"/>
      <w:r>
        <w:rPr>
          <w:rFonts w:hint="eastAsia" w:ascii="宋体" w:hAnsi="宋体" w:eastAsia="宋体" w:cs="宋体"/>
          <w:b/>
          <w:color w:val="auto"/>
          <w:sz w:val="24"/>
          <w:szCs w:val="24"/>
          <w:highlight w:val="none"/>
        </w:rPr>
        <w:t xml:space="preserve">五、响应文件的解密与评审</w:t>
      </w:r>
      <w:bookmarkEnd w:id="116"/>
      <w:r/>
      <w:bookmarkEnd w:id="117"/>
      <w:r/>
      <w:bookmarkEnd w:id="118"/>
      <w:r/>
      <w:bookmarkEnd w:id="119"/>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bookmarkStart w:id="120" w:name="_Toc20823302"/>
      <w:r/>
      <w:bookmarkStart w:id="121" w:name="_Toc513029230"/>
      <w:r/>
      <w:bookmarkStart w:id="122" w:name="_Toc16938546"/>
      <w:r>
        <w:rPr>
          <w:rFonts w:hint="eastAsia" w:ascii="宋体" w:hAnsi="宋体" w:eastAsia="宋体" w:cs="宋体"/>
          <w:color w:val="auto"/>
          <w:sz w:val="24"/>
          <w:szCs w:val="24"/>
          <w:highlight w:val="none"/>
        </w:rPr>
        <w:t xml:space="preserve">22、</w:t>
      </w:r>
      <w:bookmarkEnd w:id="120"/>
      <w:r/>
      <w:bookmarkEnd w:id="121"/>
      <w:r/>
      <w:bookmarkEnd w:id="122"/>
      <w:r>
        <w:rPr>
          <w:rFonts w:hint="eastAsia" w:ascii="宋体" w:hAnsi="宋体" w:eastAsia="宋体" w:cs="宋体"/>
          <w:color w:val="auto"/>
          <w:sz w:val="24"/>
          <w:szCs w:val="24"/>
          <w:highlight w:val="none"/>
        </w:rPr>
        <w:t xml:space="preserve">响应文件解密</w:t>
      </w:r>
      <w:r/>
    </w:p>
    <w:p>
      <w:pPr>
        <w:pStyle w:val="820"/>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bookmarkStart w:id="123" w:name="_Toc20823303"/>
      <w:r/>
      <w:bookmarkStart w:id="124" w:name="_Toc513029231"/>
      <w:r/>
      <w:bookmarkStart w:id="125" w:name="_Toc16938547"/>
      <w:r>
        <w:rPr>
          <w:rFonts w:hint="eastAsia" w:ascii="宋体" w:hAnsi="宋体" w:eastAsia="宋体" w:cs="宋体"/>
          <w:color w:val="auto"/>
          <w:sz w:val="24"/>
          <w:szCs w:val="24"/>
          <w:highlight w:val="none"/>
        </w:rPr>
        <w:t xml:space="preserve">23、磋商小组</w:t>
      </w:r>
      <w:bookmarkEnd w:id="123"/>
      <w:r/>
      <w:bookmarkEnd w:id="124"/>
      <w:r/>
      <w:bookmarkEnd w:id="125"/>
      <w:r/>
      <w:r/>
    </w:p>
    <w:p>
      <w:pPr>
        <w:pStyle w:val="8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8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无效响应文件。</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bookmarkStart w:id="126" w:name="_Toc16938548"/>
      <w:r/>
      <w:bookmarkStart w:id="127" w:name="_Toc513029232"/>
      <w:r/>
      <w:bookmarkStart w:id="128" w:name="_Toc20823304"/>
      <w:r>
        <w:rPr>
          <w:rFonts w:hint="eastAsia" w:ascii="宋体" w:hAnsi="宋体" w:eastAsia="宋体" w:cs="宋体"/>
          <w:color w:val="auto"/>
          <w:sz w:val="24"/>
          <w:szCs w:val="24"/>
          <w:highlight w:val="none"/>
        </w:rPr>
        <w:t xml:space="preserve">25、评审过程中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26"/>
      <w:r/>
      <w:bookmarkEnd w:id="127"/>
      <w:r/>
      <w:bookmarkEnd w:id="128"/>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8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 更正，其风险由供应商自行承担。</w:t>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bookmarkStart w:id="129" w:name="_Toc20823305"/>
      <w:r/>
      <w:bookmarkStart w:id="130" w:name="_Toc513029233"/>
      <w:r/>
      <w:bookmarkStart w:id="131" w:name="_Toc16938549"/>
      <w:r>
        <w:rPr>
          <w:rFonts w:hint="eastAsia" w:ascii="宋体" w:hAnsi="宋体" w:eastAsia="宋体" w:cs="宋体"/>
          <w:color w:val="auto"/>
          <w:sz w:val="24"/>
          <w:szCs w:val="24"/>
          <w:highlight w:val="none"/>
        </w:rPr>
        <w:t xml:space="preserve">26、对响应文件的审</w:t>
      </w:r>
      <w:bookmarkEnd w:id="129"/>
      <w:r/>
      <w:bookmarkEnd w:id="130"/>
      <w:r/>
      <w:bookmarkEnd w:id="131"/>
      <w:r>
        <w:rPr>
          <w:rFonts w:hint="eastAsia" w:ascii="宋体" w:hAnsi="宋体" w:eastAsia="宋体" w:cs="宋体"/>
          <w:color w:val="auto"/>
          <w:sz w:val="24"/>
          <w:szCs w:val="24"/>
          <w:highlight w:val="none"/>
        </w:rPr>
        <w:t xml:space="preserve">查</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i/>
          <w:color w:val="auto"/>
          <w:sz w:val="24"/>
          <w:szCs w:val="24"/>
          <w:highlight w:val="none"/>
          <w:u w:val="single"/>
        </w:rPr>
        <w:t xml:space="preserve">（本磋商文件中斜体且有下划线部分为实质性要求和条件）。</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auto"/>
          <w:sz w:val="24"/>
          <w:szCs w:val="24"/>
          <w:highlight w:val="none"/>
        </w:rPr>
        <w:t xml:space="preserve">处理。</w:t>
      </w:r>
      <w:r/>
    </w:p>
    <w:p>
      <w:pPr>
        <w:pStyle w:val="82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应当启动异常低价响应审查程序：</w:t>
      </w:r>
      <w:r/>
    </w:p>
    <w:p>
      <w:pPr>
        <w:pStyle w:val="82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1.响应报价低于采购项目预算50%的，即响应报价&lt;采购项目预算×50%；</w:t>
      </w:r>
      <w:r/>
    </w:p>
    <w:p>
      <w:pPr>
        <w:pStyle w:val="82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2.响应报价低于采购项目最高限价45%的，即响应报价&lt;采购项目最高限价×45%；</w:t>
      </w:r>
      <w:r/>
    </w:p>
    <w:p>
      <w:pPr>
        <w:pStyle w:val="82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认定的供应商报价过低、有可能影响产品质量或者不能诚信履约的其他情形。</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（二）启动异常低价响应审查后，</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应当要求相关供应商在评标现场合理的时间内，提供项目具体成本测算等与报价合理性相关的书面说明及相关证明材料，对响应价格作出解释，由</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应当将其作为无效响应处理。审查相关情况应当在评审报告中进行记录。</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bookmarkStart w:id="132" w:name="_Toc513029234"/>
      <w:r/>
      <w:bookmarkStart w:id="133" w:name="_Toc16938550"/>
      <w:r/>
      <w:bookmarkStart w:id="134" w:name="_Toc20823306"/>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及磋商小组联系。</w:t>
      </w:r>
      <w:bookmarkEnd w:id="132"/>
      <w:r/>
      <w:bookmarkEnd w:id="133"/>
      <w:r/>
      <w:bookmarkEnd w:id="134"/>
      <w:r/>
      <w:r/>
    </w:p>
    <w:p>
      <w:pPr>
        <w:pStyle w:val="820"/>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pStyle w:val="820"/>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pStyle w:val="820"/>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20"/>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20"/>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20"/>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20"/>
        <w:ind w:firstLine="480"/>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pStyle w:val="820"/>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20"/>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pStyle w:val="820"/>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820"/>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20"/>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820"/>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pStyle w:val="820"/>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pStyle w:val="820"/>
        <w:ind w:firstLine="360"/>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820"/>
        <w:ind w:firstLine="360"/>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820"/>
        <w:ind w:firstLine="360"/>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820"/>
        <w:ind w:firstLine="360"/>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过程中符合要求的供应商或者最后报价未超过采购预算的供应商不足3家的。</w:t>
      </w:r>
      <w:r/>
    </w:p>
    <w:p>
      <w:pPr>
        <w:pStyle w:val="820"/>
        <w:ind w:firstLine="360"/>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82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35" w:name="_Toc120614219"/>
      <w:r/>
      <w:bookmarkStart w:id="136" w:name="_Toc20823307"/>
      <w:r/>
      <w:bookmarkStart w:id="137" w:name="_Toc513029235"/>
      <w:r/>
      <w:bookmarkStart w:id="138" w:name="_Toc16938551"/>
      <w:r>
        <w:rPr>
          <w:rFonts w:hint="eastAsia" w:ascii="宋体" w:hAnsi="宋体" w:eastAsia="宋体" w:cs="宋体"/>
          <w:b/>
          <w:color w:val="auto"/>
          <w:sz w:val="24"/>
          <w:szCs w:val="24"/>
          <w:highlight w:val="none"/>
        </w:rPr>
        <w:t xml:space="preserve">六、</w:t>
      </w:r>
      <w:bookmarkEnd w:id="135"/>
      <w:r/>
      <w:bookmarkEnd w:id="136"/>
      <w:r/>
      <w:bookmarkEnd w:id="137"/>
      <w:r/>
      <w:bookmarkEnd w:id="138"/>
      <w:r>
        <w:rPr>
          <w:rFonts w:hint="eastAsia" w:ascii="宋体" w:hAnsi="宋体" w:eastAsia="宋体" w:cs="宋体"/>
          <w:b/>
          <w:color w:val="auto"/>
          <w:sz w:val="24"/>
          <w:szCs w:val="24"/>
          <w:highlight w:val="none"/>
        </w:rPr>
        <w:t xml:space="preserve">成交</w:t>
      </w:r>
      <w:r/>
    </w:p>
    <w:p>
      <w:pPr>
        <w:pStyle w:val="820"/>
        <w:ind w:firstLine="600"/>
        <w:jc w:val="both"/>
        <w:keepLines/>
        <w:keepNext/>
        <w:spacing w:beforeAutospacing="0" w:afterAutospacing="0"/>
        <w:rPr>
          <w:rFonts w:hint="eastAsia" w:ascii="宋体" w:hAnsi="宋体" w:eastAsia="宋体" w:cs="宋体"/>
          <w:color w:val="auto"/>
          <w:sz w:val="24"/>
          <w:szCs w:val="24"/>
          <w:highlight w:val="none"/>
        </w:rPr>
      </w:pPr>
      <w:r/>
      <w:bookmarkStart w:id="139" w:name="_Toc20823310"/>
      <w:r/>
      <w:bookmarkStart w:id="140" w:name="_Toc513029238"/>
      <w:r/>
      <w:bookmarkStart w:id="141" w:name="_Toc16938554"/>
      <w:r>
        <w:rPr>
          <w:rFonts w:hint="eastAsia" w:ascii="宋体" w:hAnsi="宋体" w:eastAsia="宋体" w:cs="宋体"/>
          <w:color w:val="auto"/>
          <w:sz w:val="24"/>
          <w:szCs w:val="24"/>
          <w:highlight w:val="none"/>
        </w:rPr>
        <w:t xml:space="preserve">28、</w:t>
      </w:r>
      <w:bookmarkEnd w:id="139"/>
      <w:r>
        <w:rPr>
          <w:rFonts w:hint="eastAsia" w:ascii="宋体" w:hAnsi="宋体" w:eastAsia="宋体" w:cs="宋体"/>
          <w:color w:val="auto"/>
          <w:sz w:val="24"/>
          <w:szCs w:val="24"/>
          <w:highlight w:val="none"/>
        </w:rPr>
        <w:t xml:space="preserve">确定</w:t>
      </w:r>
      <w:bookmarkEnd w:id="140"/>
      <w:r/>
      <w:bookmarkEnd w:id="141"/>
      <w:r>
        <w:rPr>
          <w:rFonts w:hint="eastAsia" w:ascii="宋体" w:hAnsi="宋体" w:eastAsia="宋体" w:cs="宋体"/>
          <w:color w:val="auto"/>
          <w:sz w:val="24"/>
          <w:szCs w:val="24"/>
          <w:highlight w:val="none"/>
        </w:rPr>
        <w:t xml:space="preserve">成交单位</w:t>
      </w:r>
      <w:r/>
    </w:p>
    <w:p>
      <w:pPr>
        <w:pStyle w:val="820"/>
        <w:ind w:firstLine="478"/>
        <w:jc w:val="both"/>
        <w:spacing w:beforeAutospacing="0" w:after="145" w:afterAutospacing="0" w:line="0" w:lineRule="atLeas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盐城市政府采购网”发布成交结果公告，公告期限为1个工作日。</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工作人员恶意串通的。</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820"/>
        <w:ind w:firstLine="600"/>
        <w:jc w:val="both"/>
        <w:keepLines/>
        <w:keepNext/>
        <w:spacing w:beforeAutospacing="0" w:afterAutospacing="0"/>
        <w:rPr>
          <w:rFonts w:hint="eastAsia" w:ascii="宋体" w:hAnsi="宋体" w:eastAsia="宋体" w:cs="宋体"/>
          <w:color w:val="auto"/>
          <w:sz w:val="24"/>
          <w:szCs w:val="24"/>
          <w:highlight w:val="none"/>
        </w:rPr>
      </w:pPr>
      <w:r/>
      <w:bookmarkStart w:id="142" w:name="_Toc200451960"/>
      <w:r>
        <w:rPr>
          <w:rFonts w:hint="eastAsia" w:ascii="宋体" w:hAnsi="宋体" w:eastAsia="宋体" w:cs="宋体"/>
          <w:color w:val="auto"/>
          <w:sz w:val="24"/>
          <w:szCs w:val="24"/>
          <w:highlight w:val="none"/>
        </w:rPr>
        <w:t xml:space="preserve">29、质疑处理</w:t>
      </w:r>
      <w:bookmarkEnd w:id="142"/>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文件提出质疑的，为收到</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29.2.3对成交结果提出质疑的，为成交结果公告期限届满之日。</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负责答复。</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不接受未填写快递运单的快件。联系地址：</w:t>
      </w:r>
      <w:r>
        <w:rPr>
          <w:rFonts w:hint="eastAsia" w:ascii="宋体" w:hAnsi="宋体" w:eastAsia="宋体" w:cs="宋体"/>
          <w:color w:val="auto"/>
          <w:sz w:val="24"/>
          <w:szCs w:val="24"/>
          <w:highlight w:val="none"/>
          <w:lang w:val="en-US" w:eastAsia="zh-CN"/>
        </w:rPr>
        <w:t xml:space="preserve">响水县响水镇双园路199号</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15195195950</w:t>
      </w:r>
      <w:r>
        <w:rPr>
          <w:rFonts w:hint="eastAsia" w:ascii="宋体" w:hAnsi="宋体" w:eastAsia="宋体" w:cs="宋体"/>
          <w:color w:val="auto"/>
          <w:sz w:val="24"/>
          <w:szCs w:val="24"/>
          <w:highlight w:val="none"/>
        </w:rPr>
        <w:t xml:space="preserve">。</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820"/>
        <w:ind w:firstLine="468"/>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20"/>
        <w:ind w:firstLine="60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pStyle w:val="820"/>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20"/>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20"/>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43" w:name="_Toc513029236"/>
      <w:r/>
      <w:bookmarkStart w:id="144" w:name="_Toc20823308"/>
      <w:r/>
      <w:bookmarkStart w:id="145" w:name="_Toc120614220"/>
      <w:r/>
      <w:bookmarkStart w:id="146" w:name="_Toc16938552"/>
      <w:r>
        <w:rPr>
          <w:rFonts w:hint="eastAsia" w:ascii="宋体" w:hAnsi="宋体" w:eastAsia="宋体" w:cs="宋体"/>
          <w:b/>
          <w:color w:val="auto"/>
          <w:sz w:val="24"/>
          <w:szCs w:val="24"/>
          <w:highlight w:val="none"/>
        </w:rPr>
        <w:t xml:space="preserve">七、授予合同</w:t>
      </w:r>
      <w:bookmarkEnd w:id="143"/>
      <w:r/>
      <w:bookmarkEnd w:id="144"/>
      <w:r/>
      <w:bookmarkEnd w:id="145"/>
      <w:r/>
      <w:bookmarkEnd w:id="146"/>
      <w:r/>
      <w:r/>
    </w:p>
    <w:p>
      <w:pPr>
        <w:pStyle w:val="820"/>
        <w:ind w:firstLine="600"/>
        <w:jc w:val="both"/>
        <w:keepLines/>
        <w:keepNext/>
        <w:spacing w:beforeAutospacing="0" w:afterAutospacing="0"/>
        <w:rPr>
          <w:rFonts w:hint="eastAsia" w:ascii="宋体" w:hAnsi="宋体" w:eastAsia="宋体" w:cs="宋体"/>
          <w:color w:val="auto"/>
          <w:sz w:val="24"/>
          <w:szCs w:val="24"/>
          <w:highlight w:val="none"/>
        </w:rPr>
      </w:pPr>
      <w:r/>
      <w:bookmarkStart w:id="147" w:name="_Toc513029237"/>
      <w:r/>
      <w:bookmarkStart w:id="148" w:name="_Toc16938553"/>
      <w:r/>
      <w:bookmarkStart w:id="149" w:name="_Toc20823309"/>
      <w:r>
        <w:rPr>
          <w:rFonts w:hint="eastAsia" w:ascii="宋体" w:hAnsi="宋体" w:eastAsia="宋体" w:cs="宋体"/>
          <w:color w:val="auto"/>
          <w:sz w:val="24"/>
          <w:szCs w:val="24"/>
          <w:highlight w:val="none"/>
        </w:rPr>
        <w:t xml:space="preserve">31.签订合同</w:t>
      </w:r>
      <w:bookmarkEnd w:id="147"/>
      <w:r/>
      <w:bookmarkEnd w:id="148"/>
      <w:r/>
      <w:bookmarkEnd w:id="149"/>
      <w:r/>
      <w:r/>
    </w:p>
    <w:p>
      <w:pPr>
        <w:pStyle w:val="820"/>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pStyle w:val="820"/>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820"/>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 xml:space="preserve">包造成采购人损失的，成交供应商应承担相应赔偿责任。</w:t>
      </w:r>
      <w:r/>
    </w:p>
    <w:p>
      <w:pPr>
        <w:pStyle w:val="820"/>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（备注：项目经办人在发标前应与采购人商定是否允许成交供应商分包履行合同，确定后该备注删除）</w:t>
      </w:r>
      <w:r/>
    </w:p>
    <w:p>
      <w:pPr>
        <w:pStyle w:val="820"/>
        <w:ind w:firstLine="60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标的物的追加</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20"/>
        <w:numPr>
          <w:ilvl w:val="0"/>
          <w:numId w:val="0"/>
        </w:numPr>
        <w:ind w:left="474"/>
        <w:jc w:val="both"/>
        <w:spacing w:beforeAutospacing="0" w:afterAutospacing="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820"/>
        <w:ind w:firstLine="48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spacing w:line="480" w:lineRule="exact"/>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.3.1中小企业定义：</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 xml:space="preserve">公告</w:t>
      </w:r>
      <w:r>
        <w:rPr>
          <w:rFonts w:hint="eastAsia" w:ascii="宋体" w:hAnsi="宋体" w:eastAsia="宋体" w:cs="宋体"/>
          <w:color w:val="auto"/>
          <w:sz w:val="24"/>
          <w:szCs w:val="24"/>
          <w:highlight w:val="none"/>
          <w:shd w:val="clear" w:color="auto" w:fill="auto"/>
        </w:rPr>
        <w:t xml:space="preserve">》。</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spacing w:before="0" w:after="0" w:line="85" w:lineRule="atLeast"/>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pStyle w:val="827"/>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820"/>
        <w:jc w:val="center"/>
        <w:spacing w:beforeAutospacing="0" w:afterAutospacing="0" w:line="0" w:lineRule="atLeast"/>
        <w:rPr>
          <w:color w:val="auto"/>
          <w:highlight w:val="none"/>
        </w:rPr>
      </w:pPr>
      <w:r>
        <w:rPr>
          <w:rFonts w:hint="eastAsia" w:ascii="黑体" w:hAnsi="宋体" w:eastAsia="黑体" w:cs="黑体"/>
          <w:color w:val="auto"/>
          <w:sz w:val="44"/>
          <w:szCs w:val="44"/>
          <w:highlight w:val="none"/>
        </w:rPr>
        <w:t xml:space="preserve">第三章  合同文本</w:t>
      </w:r>
      <w:r/>
    </w:p>
    <w:p>
      <w:pPr>
        <w:pStyle w:val="820"/>
        <w:ind w:firstLine="480"/>
        <w:jc w:val="both"/>
        <w:spacing w:beforeAutospacing="0" w:afterAutospacing="0" w:line="0" w:lineRule="atLeast"/>
        <w:rPr>
          <w:color w:val="auto"/>
          <w:highlight w:val="none"/>
        </w:rPr>
      </w:pPr>
      <w:r/>
      <w:bookmarkStart w:id="150" w:name="_Toc513029243"/>
      <w:r/>
      <w:bookmarkStart w:id="151" w:name="_Toc16938559"/>
      <w:r/>
      <w:bookmarkStart w:id="152" w:name="_Toc20823315"/>
      <w:r>
        <w:rPr>
          <w:rFonts w:hint="eastAsia" w:ascii="宋体" w:hAnsi="宋体" w:eastAsia="宋体" w:cs="宋体"/>
          <w:color w:val="auto"/>
          <w:highlight w:val="none"/>
        </w:rPr>
        <w:t xml:space="preserve">以下为成交后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本项目合同的通用条款，成交供应商不得提出实质性的修改。</w:t>
      </w:r>
      <w:bookmarkEnd w:id="150"/>
      <w:r/>
      <w:bookmarkEnd w:id="151"/>
      <w:r/>
      <w:bookmarkEnd w:id="152"/>
      <w:r/>
      <w:r/>
    </w:p>
    <w:p>
      <w:pPr>
        <w:pStyle w:val="820"/>
        <w:jc w:val="center"/>
        <w:spacing w:before="145" w:beforeAutospacing="0" w:after="145" w:afterAutospacing="0"/>
        <w:rPr>
          <w:color w:val="auto"/>
          <w:highlight w:val="none"/>
        </w:rPr>
      </w:pPr>
      <w:r>
        <w:rPr>
          <w:rFonts w:hint="eastAsia" w:ascii="宋体" w:hAnsi="宋体" w:eastAsia="宋体" w:cs="宋体"/>
          <w:b/>
          <w:color w:val="auto"/>
          <w:sz w:val="30"/>
          <w:szCs w:val="30"/>
          <w:highlight w:val="none"/>
        </w:rPr>
        <w:t xml:space="preserve">盐城市政府采购合同</w:t>
      </w:r>
      <w:r/>
    </w:p>
    <w:p>
      <w:pPr>
        <w:pStyle w:val="820"/>
        <w:jc w:val="left"/>
        <w:spacing w:before="120" w:beforeAutospacing="0" w:after="12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项目名称：2025年耕地占补平衡项目客土检测</w:t>
      </w:r>
      <w:r/>
    </w:p>
    <w:p>
      <w:pPr>
        <w:pStyle w:val="820"/>
        <w:jc w:val="left"/>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pStyle w:val="820"/>
        <w:jc w:val="both"/>
        <w:spacing w:before="120" w:beforeAutospacing="0" w:after="120" w:afterAutospacing="0"/>
        <w:rPr>
          <w:rFonts w:hint="default" w:eastAsia="宋体"/>
          <w:color w:val="auto"/>
          <w:highlight w:val="none"/>
          <w:lang w:val="en-US" w:eastAsia="zh-CN"/>
        </w:rPr>
      </w:pPr>
      <w:r>
        <w:rPr>
          <w:rFonts w:hint="eastAsia" w:ascii="宋体" w:hAnsi="宋体" w:eastAsia="宋体" w:cs="宋体"/>
          <w:color w:val="auto"/>
          <w:highlight w:val="none"/>
        </w:rPr>
        <w:t xml:space="preserve">甲方：（买方）</w:t>
      </w:r>
      <w:r>
        <w:rPr>
          <w:rFonts w:hint="eastAsia" w:ascii="宋体" w:hAnsi="宋体" w:eastAsia="宋体" w:cs="宋体"/>
          <w:color w:val="auto"/>
          <w:highlight w:val="none"/>
          <w:u w:val="single"/>
          <w:lang w:val="en-US" w:eastAsia="zh-CN"/>
        </w:rPr>
        <w:t xml:space="preserve">响水县自然资源和规划局</w:t>
      </w:r>
      <w:r/>
    </w:p>
    <w:p>
      <w:pPr>
        <w:pStyle w:val="820"/>
        <w:jc w:val="both"/>
        <w:spacing w:before="120" w:beforeAutospacing="0" w:after="120" w:afterAutospacing="0"/>
        <w:rPr>
          <w:rFonts w:hint="default" w:eastAsia="宋体"/>
          <w:color w:val="auto"/>
          <w:highlight w:val="none"/>
          <w:lang w:val="en-US" w:eastAsia="zh-CN"/>
        </w:rPr>
      </w:pPr>
      <w:r>
        <w:rPr>
          <w:rFonts w:hint="eastAsia" w:ascii="宋体" w:hAnsi="宋体" w:eastAsia="宋体" w:cs="宋体"/>
          <w:color w:val="auto"/>
          <w:highlight w:val="none"/>
        </w:rPr>
        <w:t xml:space="preserve">乙方：（卖方）</w:t>
      </w:r>
      <w:r>
        <w:rPr>
          <w:rFonts w:hint="eastAsia" w:ascii="宋体" w:hAnsi="宋体" w:eastAsia="宋体" w:cs="宋体"/>
          <w:color w:val="auto"/>
          <w:highlight w:val="none"/>
          <w:u w:val="single"/>
          <w:lang w:val="en-US" w:eastAsia="zh-CN"/>
        </w:rPr>
        <w:t xml:space="preserve">                       </w:t>
      </w:r>
      <w:r/>
    </w:p>
    <w:p>
      <w:pPr>
        <w:pStyle w:val="82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u w:val="single"/>
          <w:lang w:eastAsia="zh-CN"/>
        </w:rPr>
        <w:t xml:space="preserve">2025年耕地占补平衡项目客土检测</w:t>
      </w:r>
      <w:r>
        <w:rPr>
          <w:rFonts w:hint="eastAsia" w:ascii="宋体" w:hAnsi="宋体" w:eastAsia="宋体" w:cs="宋体"/>
          <w:color w:val="auto"/>
          <w:highlight w:val="none"/>
        </w:rPr>
        <w:t xml:space="preserve">竞争性磋商的结果，签署本合同。</w:t>
      </w:r>
      <w:r/>
    </w:p>
    <w:p>
      <w:pPr>
        <w:pStyle w:val="82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一、合同内容</w:t>
      </w:r>
      <w:r/>
    </w:p>
    <w:p>
      <w:pPr>
        <w:pStyle w:val="820"/>
        <w:jc w:val="both"/>
        <w:spacing w:before="120" w:beforeAutospacing="0" w:after="120" w:afterAutospacing="0"/>
        <w:rPr>
          <w:rFonts w:hint="eastAsia" w:eastAsia="宋体"/>
          <w:color w:val="auto"/>
          <w:highlight w:val="none"/>
          <w:lang w:eastAsia="zh-CN"/>
        </w:rPr>
      </w:pPr>
      <w:r>
        <w:rPr>
          <w:rFonts w:hint="eastAsia" w:ascii="宋体" w:hAnsi="宋体" w:eastAsia="宋体" w:cs="宋体"/>
          <w:color w:val="auto"/>
          <w:highlight w:val="none"/>
        </w:rPr>
        <w:t xml:space="preserve">1.1 标的名称：</w:t>
      </w:r>
      <w:r>
        <w:rPr>
          <w:rFonts w:hint="eastAsia" w:ascii="宋体" w:hAnsi="宋体" w:eastAsia="宋体" w:cs="宋体"/>
          <w:color w:val="auto"/>
          <w:highlight w:val="none"/>
          <w:lang w:eastAsia="zh-CN"/>
        </w:rPr>
        <w:t xml:space="preserve">2025年耕地占补平衡项目客土检测</w:t>
      </w:r>
      <w:r/>
    </w:p>
    <w:p>
      <w:pPr>
        <w:pStyle w:val="820"/>
        <w:jc w:val="both"/>
        <w:spacing w:before="120" w:beforeAutospacing="0" w:after="120" w:afterAutospacing="0"/>
        <w:rPr>
          <w:color w:val="auto"/>
          <w:highlight w:val="none"/>
        </w:rPr>
      </w:pPr>
      <w:r>
        <w:rPr>
          <w:rFonts w:hint="eastAsia" w:ascii="宋体" w:hAnsi="宋体" w:eastAsia="宋体" w:cs="宋体"/>
          <w:color w:val="auto"/>
          <w:highlight w:val="none"/>
        </w:rPr>
        <w:t xml:space="preserve">1.2 标的质量：需在项目工作期内完成各项工作内容，形成完整的项目成果，项目成果需符合发包方及上级部门的相关要求。</w:t>
      </w:r>
      <w:r/>
    </w:p>
    <w:p>
      <w:pPr>
        <w:pStyle w:val="820"/>
        <w:jc w:val="both"/>
        <w:spacing w:before="120" w:beforeAutospacing="0" w:after="120" w:afterAutospacing="0"/>
        <w:rPr>
          <w:rFonts w:hint="default" w:eastAsia="宋体"/>
          <w:color w:val="auto"/>
          <w:highlight w:val="none"/>
          <w:lang w:val="en-US" w:eastAsia="zh-CN"/>
        </w:rPr>
      </w:pPr>
      <w:r>
        <w:rPr>
          <w:rFonts w:hint="eastAsia" w:ascii="宋体" w:hAnsi="宋体" w:eastAsia="宋体" w:cs="宋体"/>
          <w:color w:val="auto"/>
          <w:highlight w:val="none"/>
        </w:rPr>
        <w:t xml:space="preserve">1.3 标的数量（规模）：</w:t>
      </w:r>
      <w:r>
        <w:rPr>
          <w:rFonts w:hint="eastAsia" w:ascii="宋体" w:hAnsi="宋体" w:eastAsia="宋体" w:cs="宋体"/>
          <w:color w:val="auto"/>
          <w:highlight w:val="none"/>
          <w:lang w:val="en-US" w:eastAsia="zh-CN"/>
        </w:rPr>
        <w:t xml:space="preserve">1项</w:t>
      </w:r>
      <w:r/>
    </w:p>
    <w:p>
      <w:pPr>
        <w:pStyle w:val="820"/>
        <w:jc w:val="both"/>
        <w:spacing w:before="120" w:beforeAutospacing="0" w:after="120" w:afterAutospacing="0"/>
        <w:rPr>
          <w:b/>
          <w:bCs/>
          <w:color w:val="ff0000"/>
          <w:highlight w:val="none"/>
        </w:rPr>
      </w:pPr>
      <w:r>
        <w:rPr>
          <w:rFonts w:hint="eastAsia" w:ascii="宋体" w:hAnsi="宋体" w:eastAsia="宋体" w:cs="宋体"/>
          <w:color w:val="auto"/>
          <w:highlight w:val="none"/>
        </w:rPr>
        <w:t xml:space="preserve">1.4 履行时间（期限）：自合同签订之日起至202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年12月31日止，若因上级政策等原因需要延长工作期限的，经发包方同意后可适当延长工作期限。</w:t>
      </w:r>
      <w:r/>
    </w:p>
    <w:p>
      <w:pPr>
        <w:pStyle w:val="820"/>
        <w:jc w:val="both"/>
        <w:spacing w:before="120" w:beforeAutospacing="0" w:after="120" w:afterAutospacing="0"/>
        <w:rPr>
          <w:rFonts w:hint="eastAsia" w:eastAsia="宋体"/>
          <w:color w:val="auto"/>
          <w:highlight w:val="none"/>
          <w:lang w:val="en-US" w:eastAsia="zh-CN"/>
        </w:rPr>
      </w:pPr>
      <w:r>
        <w:rPr>
          <w:rFonts w:hint="eastAsia" w:ascii="宋体" w:hAnsi="宋体" w:eastAsia="宋体" w:cs="宋体"/>
          <w:color w:val="auto"/>
          <w:highlight w:val="none"/>
        </w:rPr>
        <w:t xml:space="preserve">1.5 履行地点：</w:t>
      </w:r>
      <w:r>
        <w:rPr>
          <w:rFonts w:hint="eastAsia" w:ascii="宋体" w:hAnsi="宋体" w:eastAsia="宋体" w:cs="宋体"/>
          <w:color w:val="auto"/>
          <w:highlight w:val="none"/>
          <w:lang w:val="en-US" w:eastAsia="zh-CN"/>
        </w:rPr>
        <w:t xml:space="preserve">响水县</w:t>
      </w:r>
      <w:r/>
    </w:p>
    <w:p>
      <w:pPr>
        <w:pStyle w:val="82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二、合同金额</w:t>
      </w:r>
      <w:r/>
    </w:p>
    <w:p>
      <w:pPr>
        <w:pStyle w:val="820"/>
        <w:ind w:left="410" w:hanging="410"/>
        <w:jc w:val="both"/>
        <w:spacing w:before="120" w:beforeAutospacing="0" w:after="120" w:afterAutospacing="0"/>
        <w:rPr>
          <w:color w:val="auto"/>
          <w:highlight w:val="none"/>
        </w:rPr>
      </w:pPr>
      <w:r>
        <w:rPr>
          <w:rFonts w:hint="eastAsia" w:ascii="宋体" w:hAnsi="宋体" w:eastAsia="宋体" w:cs="宋体"/>
          <w:color w:val="auto"/>
          <w:highlight w:val="none"/>
        </w:rPr>
        <w:t xml:space="preserve">2.1 本合同金额为（大写）：____________________________________圆（_______________元）人民币或其他币种。</w:t>
      </w:r>
      <w:r>
        <w:rPr>
          <w:rFonts w:hint="eastAsia" w:ascii="宋体" w:hAnsi="宋体" w:eastAsia="宋体" w:cs="宋体"/>
          <w:color w:val="auto"/>
          <w:highlight w:val="none"/>
          <w:lang w:eastAsia="zh-CN"/>
        </w:rPr>
        <w:t xml:space="preserve">（</w:t>
      </w:r>
      <w:r>
        <w:rPr>
          <w:rFonts w:hint="default" w:ascii="宋体" w:hAnsi="宋体" w:eastAsia="宋体" w:cs="宋体"/>
          <w:color w:val="auto"/>
          <w:highlight w:val="none"/>
          <w:shd w:val="clear" w:color="auto" w:fill="auto"/>
          <w:lang w:val="en-US" w:eastAsia="zh-CN"/>
        </w:rPr>
        <w:t xml:space="preserve">合同总价包括但不限于：人工费、材料费、机械及仪器费、检测费、运输费、保险费、技术服务费、验收费、招标代理服务费、投标费用、管理费、税金、利润、专家评审费、各类风险费、不可预见费及其他一切相关费用等所有费用。 </w:t>
      </w:r>
      <w:r>
        <w:rPr>
          <w:rFonts w:hint="eastAsia" w:ascii="宋体" w:hAnsi="宋体" w:eastAsia="宋体" w:cs="宋体"/>
          <w:color w:val="auto"/>
          <w:highlight w:val="none"/>
          <w:lang w:eastAsia="zh-CN"/>
        </w:rPr>
        <w:t xml:space="preserve">）</w:t>
      </w:r>
      <w:r/>
    </w:p>
    <w:p>
      <w:pPr>
        <w:pStyle w:val="82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三、技术资料</w:t>
      </w:r>
      <w:r/>
    </w:p>
    <w:p>
      <w:pPr>
        <w:pStyle w:val="820"/>
        <w:ind w:left="410" w:hanging="410"/>
        <w:jc w:val="both"/>
        <w:spacing w:before="120" w:beforeAutospacing="0" w:after="120" w:afterAutospacing="0"/>
        <w:rPr>
          <w:color w:val="auto"/>
          <w:highlight w:val="none"/>
        </w:rPr>
      </w:pPr>
      <w:r>
        <w:rPr>
          <w:rFonts w:hint="eastAsia" w:ascii="宋体" w:hAnsi="宋体" w:eastAsia="宋体" w:cs="宋体"/>
          <w:color w:val="auto"/>
          <w:highlight w:val="none"/>
        </w:rPr>
        <w:t xml:space="preserve">3.1乙方应按磋商文件规定的时间向甲方提供与合同标的有关的技术资料。</w:t>
      </w:r>
      <w:r/>
    </w:p>
    <w:p>
      <w:pPr>
        <w:pStyle w:val="820"/>
        <w:ind w:left="410" w:hanging="410"/>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w:t>
      </w:r>
      <w:r/>
    </w:p>
    <w:p>
      <w:pPr>
        <w:pStyle w:val="820"/>
        <w:ind w:left="410" w:hanging="410"/>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文、规格、计划、图纸、样品或资料提供给与履行本合同无关的任何其他人。即</w:t>
      </w:r>
      <w:r/>
    </w:p>
    <w:p>
      <w:pPr>
        <w:pStyle w:val="820"/>
        <w:ind w:left="410" w:hanging="410"/>
        <w:jc w:val="both"/>
        <w:spacing w:before="120" w:beforeAutospacing="0" w:after="120" w:afterAutospacing="0"/>
        <w:rPr>
          <w:color w:val="auto"/>
          <w:highlight w:val="none"/>
        </w:rPr>
      </w:pPr>
      <w:r>
        <w:rPr>
          <w:rFonts w:hint="eastAsia" w:ascii="宋体" w:hAnsi="宋体" w:eastAsia="宋体" w:cs="宋体"/>
          <w:color w:val="auto"/>
          <w:highlight w:val="none"/>
        </w:rPr>
        <w:t xml:space="preserve">使向履行本合同有关的人员提供，也应注意保密并限于履行合同的必需范围。</w:t>
      </w:r>
      <w:r/>
    </w:p>
    <w:p>
      <w:pPr>
        <w:pStyle w:val="820"/>
        <w:ind w:left="412" w:hanging="412"/>
        <w:jc w:val="both"/>
        <w:spacing w:before="120" w:beforeAutospacing="0" w:after="120" w:afterAutospacing="0"/>
        <w:rPr>
          <w:color w:val="auto"/>
          <w:highlight w:val="none"/>
          <w:shd w:val="clear" w:color="auto" w:fill="auto"/>
        </w:rPr>
      </w:pPr>
      <w:r>
        <w:rPr>
          <w:rFonts w:hint="eastAsia" w:ascii="宋体" w:hAnsi="宋体" w:eastAsia="宋体" w:cs="宋体"/>
          <w:b/>
          <w:color w:val="auto"/>
          <w:highlight w:val="none"/>
        </w:rPr>
        <w:t xml:space="preserve">四、知</w:t>
      </w:r>
      <w:r>
        <w:rPr>
          <w:rFonts w:hint="eastAsia" w:ascii="宋体" w:hAnsi="宋体" w:eastAsia="宋体" w:cs="宋体"/>
          <w:b/>
          <w:color w:val="auto"/>
          <w:highlight w:val="none"/>
          <w:shd w:val="clear" w:color="auto" w:fill="auto"/>
        </w:rPr>
        <w:t xml:space="preserve">识产权</w:t>
      </w:r>
      <w:r/>
    </w:p>
    <w:p>
      <w:pPr>
        <w:pStyle w:val="820"/>
        <w:ind w:left="408" w:hanging="408"/>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4.1乙方应保证甲方在使用、接受本合同标的或其任何一部分时不受第三方提出</w:t>
      </w:r>
      <w:r/>
    </w:p>
    <w:p>
      <w:pPr>
        <w:pStyle w:val="820"/>
        <w:ind w:left="408" w:hanging="408"/>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侵犯其专利权、版权、商标权和工业设计权等知识产权的起诉。一旦出现侵权，</w:t>
      </w:r>
      <w:r/>
    </w:p>
    <w:p>
      <w:pPr>
        <w:pStyle w:val="820"/>
        <w:ind w:left="408" w:hanging="408"/>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由乙方负全部责任。</w:t>
      </w:r>
      <w:r/>
    </w:p>
    <w:p>
      <w:pPr>
        <w:pStyle w:val="820"/>
        <w:jc w:val="both"/>
        <w:spacing w:before="120" w:beforeAutospacing="0" w:after="120" w:afterAutospacing="0"/>
        <w:rPr>
          <w:color w:val="auto"/>
          <w:highlight w:val="none"/>
          <w:shd w:val="clear" w:color="auto" w:fill="auto"/>
        </w:rPr>
      </w:pPr>
      <w:r>
        <w:rPr>
          <w:rFonts w:hint="eastAsia" w:ascii="宋体" w:hAnsi="宋体" w:eastAsia="宋体" w:cs="宋体"/>
          <w:b/>
          <w:color w:val="auto"/>
          <w:highlight w:val="none"/>
          <w:shd w:val="clear" w:color="auto" w:fill="auto"/>
        </w:rPr>
        <w:t xml:space="preserve">五、产权担保</w:t>
      </w:r>
      <w:r/>
    </w:p>
    <w:p>
      <w:pPr>
        <w:pStyle w:val="820"/>
        <w:ind w:left="408" w:hanging="408"/>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5.1 乙方保证所交付的合同标的的所有权完全属于乙方且无任何抵押、查封等产</w:t>
      </w:r>
      <w:r/>
    </w:p>
    <w:p>
      <w:pPr>
        <w:pStyle w:val="820"/>
        <w:ind w:left="408" w:hanging="408"/>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权瑕疵。</w:t>
      </w:r>
      <w:r/>
    </w:p>
    <w:p>
      <w:pPr>
        <w:pStyle w:val="820"/>
        <w:ind w:left="410" w:hanging="410"/>
        <w:jc w:val="both"/>
        <w:spacing w:before="120" w:beforeAutospacing="0" w:after="120" w:afterAutospacing="0"/>
        <w:rPr>
          <w:color w:val="auto"/>
          <w:highlight w:val="none"/>
          <w:shd w:val="clear" w:color="auto" w:fill="auto"/>
        </w:rPr>
      </w:pPr>
      <w:r>
        <w:rPr>
          <w:rFonts w:hint="eastAsia" w:ascii="宋体" w:hAnsi="宋体" w:eastAsia="宋体" w:cs="宋体"/>
          <w:b/>
          <w:color w:val="auto"/>
          <w:highlight w:val="none"/>
          <w:shd w:val="clear" w:color="auto" w:fill="auto"/>
        </w:rPr>
        <w:t xml:space="preserve">六、履约保证金</w:t>
      </w:r>
      <w:r/>
    </w:p>
    <w:p>
      <w:pPr>
        <w:pStyle w:val="820"/>
        <w:ind w:left="408" w:hanging="408"/>
        <w:jc w:val="both"/>
        <w:spacing w:before="120" w:beforeAutospacing="0" w:after="12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6.1 乙方交纳人民币</w:t>
      </w:r>
      <w:r>
        <w:rPr>
          <w:rFonts w:hint="eastAsia" w:ascii="宋体" w:hAnsi="宋体" w:eastAsia="宋体" w:cs="宋体"/>
          <w:color w:val="auto"/>
          <w:highlight w:val="none"/>
          <w:u w:val="single"/>
          <w:shd w:val="clear" w:color="auto" w:fill="auto"/>
          <w:lang w:eastAsia="zh-CN"/>
        </w:rPr>
        <w:t xml:space="preserve">（</w:t>
      </w:r>
      <w:r>
        <w:rPr>
          <w:rFonts w:hint="eastAsia" w:ascii="宋体" w:hAnsi="宋体" w:eastAsia="宋体" w:cs="宋体"/>
          <w:color w:val="auto"/>
          <w:highlight w:val="none"/>
          <w:u w:val="single"/>
          <w:shd w:val="clear" w:color="auto" w:fill="auto"/>
        </w:rPr>
        <w:t xml:space="preserve">合同金额的10%</w:t>
      </w:r>
      <w:r>
        <w:rPr>
          <w:rFonts w:hint="eastAsia" w:ascii="宋体" w:hAnsi="宋体" w:eastAsia="宋体" w:cs="宋体"/>
          <w:color w:val="auto"/>
          <w:highlight w:val="none"/>
          <w:u w:val="single"/>
          <w:shd w:val="clear" w:color="auto" w:fill="auto"/>
          <w:lang w:eastAsia="zh-CN"/>
        </w:rPr>
        <w:t xml:space="preserve">）</w:t>
      </w:r>
      <w:r>
        <w:rPr>
          <w:rFonts w:hint="eastAsia" w:ascii="宋体" w:hAnsi="宋体" w:eastAsia="宋体" w:cs="宋体"/>
          <w:color w:val="auto"/>
          <w:highlight w:val="none"/>
          <w:shd w:val="clear" w:color="auto" w:fill="auto"/>
        </w:rPr>
        <w:t xml:space="preserve">元作为本合同的履约保证金。</w:t>
      </w:r>
      <w:r/>
    </w:p>
    <w:p>
      <w:pPr>
        <w:pStyle w:val="820"/>
        <w:jc w:val="both"/>
        <w:spacing w:before="120" w:beforeAutospacing="0" w:after="120" w:afterAutospacing="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6.</w:t>
      </w:r>
      <w:r>
        <w:rPr>
          <w:rFonts w:hint="eastAsia" w:ascii="宋体" w:hAnsi="宋体" w:eastAsia="宋体" w:cs="宋体"/>
          <w:color w:val="auto"/>
          <w:highlight w:val="none"/>
          <w:shd w:val="clear" w:color="auto" w:fill="auto"/>
          <w:lang w:val="en-US" w:eastAsia="zh-CN"/>
        </w:rPr>
        <w:t xml:space="preserve">2确需收取履约保证金的，</w:t>
      </w:r>
      <w:r>
        <w:rPr>
          <w:rFonts w:hint="eastAsia" w:ascii="宋体" w:hAnsi="宋体" w:eastAsia="宋体" w:cs="宋体"/>
          <w:color w:val="auto"/>
          <w:highlight w:val="none"/>
          <w:shd w:val="clear" w:color="auto" w:fill="auto"/>
          <w:lang w:eastAsia="zh-CN"/>
        </w:rPr>
        <w:t xml:space="preserve">履约保证金的缴纳形式：</w:t>
      </w:r>
      <w:r/>
    </w:p>
    <w:p>
      <w:pPr>
        <w:pStyle w:val="82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6.2.1</w:t>
      </w:r>
      <w:r>
        <w:rPr>
          <w:rFonts w:hint="eastAsia" w:ascii="宋体" w:hAnsi="宋体" w:eastAsia="宋体" w:cs="宋体"/>
          <w:color w:val="auto"/>
          <w:highlight w:val="none"/>
          <w:shd w:val="clear" w:color="auto" w:fill="auto"/>
        </w:rPr>
        <w:t xml:space="preserve">供应商应当以支票、汇票、本票或者金融机构、担保机构出具的保函等非现金形式提交</w:t>
      </w:r>
      <w:r>
        <w:rPr>
          <w:rFonts w:hint="eastAsia" w:ascii="宋体" w:hAnsi="宋体" w:eastAsia="宋体" w:cs="宋体"/>
          <w:color w:val="auto"/>
          <w:highlight w:val="none"/>
          <w:shd w:val="clear" w:color="auto" w:fill="auto"/>
          <w:lang w:eastAsia="zh-CN"/>
        </w:rPr>
        <w:t xml:space="preserve">履约保证金</w:t>
      </w:r>
      <w:r>
        <w:rPr>
          <w:rFonts w:hint="eastAsia" w:ascii="宋体" w:hAnsi="宋体" w:eastAsia="宋体" w:cs="宋体"/>
          <w:color w:val="auto"/>
          <w:highlight w:val="none"/>
          <w:shd w:val="clear" w:color="auto" w:fill="auto"/>
        </w:rPr>
        <w:t xml:space="preserve">。依据《关于在全省政府采购领域推行电子履约保函（保险）的通知》，鼓励供应商自愿使用</w:t>
      </w:r>
      <w:r>
        <w:rPr>
          <w:rFonts w:hint="eastAsia" w:ascii="宋体" w:hAnsi="宋体" w:eastAsia="宋体" w:cs="宋体"/>
          <w:color w:val="auto"/>
          <w:highlight w:val="none"/>
          <w:shd w:val="clear" w:color="auto" w:fill="auto"/>
          <w:lang w:eastAsia="zh-CN"/>
        </w:rPr>
        <w:t xml:space="preserve">电子</w:t>
      </w:r>
      <w:r>
        <w:rPr>
          <w:rFonts w:hint="eastAsia" w:ascii="宋体" w:hAnsi="宋体" w:eastAsia="宋体" w:cs="宋体"/>
          <w:color w:val="auto"/>
          <w:highlight w:val="none"/>
          <w:shd w:val="clear" w:color="auto" w:fill="auto"/>
        </w:rPr>
        <w:t xml:space="preserve">履约保函（保险）代替缴纳履约保证金</w:t>
      </w:r>
      <w:r>
        <w:rPr>
          <w:rFonts w:hint="eastAsia" w:ascii="宋体" w:hAnsi="宋体" w:eastAsia="宋体" w:cs="宋体"/>
          <w:color w:val="auto"/>
          <w:highlight w:val="none"/>
          <w:shd w:val="clear" w:color="auto" w:fill="auto"/>
          <w:lang w:eastAsia="zh-CN"/>
        </w:rPr>
        <w:t xml:space="preserve">。</w:t>
      </w:r>
      <w:r/>
    </w:p>
    <w:p>
      <w:pPr>
        <w:pStyle w:val="82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6.2.2 如以履约保函（保险）形式缴纳履约保证金，供应商可通过政府采购电子履约保函（保险）平台（www.jsdzbh.com）在线申请履约保函（保险）。</w:t>
      </w:r>
      <w:r/>
    </w:p>
    <w:p>
      <w:pPr>
        <w:pStyle w:val="820"/>
        <w:ind w:left="408" w:hanging="408"/>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6.</w:t>
      </w: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合同履行结束后，甲方应及时退还交纳的履约保证金。</w:t>
      </w:r>
      <w:r/>
    </w:p>
    <w:p>
      <w:pPr>
        <w:spacing w:line="360" w:lineRule="auto"/>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履约保证金的退还：</w:t>
      </w:r>
      <w:r/>
    </w:p>
    <w:p>
      <w:pPr>
        <w:spacing w:line="360" w:lineRule="auto"/>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.1方式：退还至投标人缴纳履约保证金的账户。如为保函，在到期时自行失效。</w:t>
      </w:r>
      <w:r/>
    </w:p>
    <w:p>
      <w:pPr>
        <w:spacing w:line="360" w:lineRule="auto"/>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.2时间：验收合格且采购人收到发票后30日内。</w:t>
      </w:r>
      <w:r/>
    </w:p>
    <w:p>
      <w:pPr>
        <w:spacing w:line="360" w:lineRule="auto"/>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.3条件：按合同要求全部履约完成并经采购人验收合格，且采购人收到中标人出具的发票。</w:t>
      </w:r>
      <w:r/>
    </w:p>
    <w:p>
      <w:pPr>
        <w:spacing w:line="360" w:lineRule="auto"/>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.4不予退还情形：</w:t>
      </w:r>
      <w:r/>
    </w:p>
    <w:p>
      <w:pPr>
        <w:spacing w:line="360" w:lineRule="auto"/>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除不可抗力情况外，投标人出现下列情形之一的，其履约保证金，招标人将视情节决定不予退还或部分不予退还。</w:t>
      </w:r>
      <w:r/>
    </w:p>
    <w:p>
      <w:pPr>
        <w:spacing w:line="360" w:lineRule="auto"/>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（1）中标人无正当理由拒绝签订合同的，或者在签订合同时向采购人提出附加条件或者更改合同实质性内容要求的；</w:t>
      </w:r>
      <w:r/>
    </w:p>
    <w:p>
      <w:pPr>
        <w:spacing w:line="360" w:lineRule="auto"/>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（2）中标人不履行与采购人订立的合同的；</w:t>
      </w:r>
      <w:r/>
    </w:p>
    <w:p>
      <w:pPr>
        <w:spacing w:line="360" w:lineRule="auto"/>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（3）中标人所供货物或服务不符合</w:t>
      </w:r>
      <w:r>
        <w:rPr>
          <w:rFonts w:hint="eastAsia" w:ascii="仿宋" w:hAnsi="仿宋" w:eastAsia="仿宋" w:cs="仿宋"/>
          <w:color w:val="auto"/>
          <w:sz w:val="28"/>
          <w:szCs w:val="28"/>
          <w:highlight w:val="none"/>
          <w:lang w:val="en-US" w:eastAsia="zh-CN"/>
        </w:rPr>
        <w:t xml:space="preserve">磋商</w:t>
      </w:r>
      <w:r>
        <w:rPr>
          <w:rFonts w:hint="eastAsia" w:ascii="宋体" w:hAnsi="宋体" w:eastAsia="宋体" w:cs="宋体"/>
          <w:color w:val="auto"/>
          <w:sz w:val="24"/>
          <w:highlight w:val="none"/>
          <w:shd w:val="clear" w:color="auto" w:fill="auto"/>
        </w:rPr>
        <w:t xml:space="preserve">文件规定要求的；</w:t>
      </w:r>
      <w:r/>
    </w:p>
    <w:p>
      <w:pPr>
        <w:spacing w:line="360" w:lineRule="auto"/>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（4）中标人采取欺骗、弄虚作假方式投标的或与</w:t>
      </w:r>
      <w:r>
        <w:rPr>
          <w:rFonts w:hint="eastAsia" w:ascii="宋体" w:hAnsi="宋体" w:eastAsia="宋体" w:cs="宋体"/>
          <w:color w:val="auto"/>
          <w:sz w:val="24"/>
          <w:highlight w:val="none"/>
          <w:shd w:val="clear" w:color="auto" w:fill="auto"/>
          <w:lang w:eastAsia="zh-CN"/>
        </w:rPr>
        <w:t xml:space="preserve">其他</w:t>
      </w:r>
      <w:r>
        <w:rPr>
          <w:rFonts w:hint="eastAsia" w:ascii="宋体" w:hAnsi="宋体" w:eastAsia="宋体" w:cs="宋体"/>
          <w:color w:val="auto"/>
          <w:sz w:val="24"/>
          <w:highlight w:val="none"/>
          <w:shd w:val="clear" w:color="auto" w:fill="auto"/>
        </w:rPr>
        <w:t xml:space="preserve">投标人串通投标的；</w:t>
      </w:r>
      <w:r/>
    </w:p>
    <w:p>
      <w:pPr>
        <w:spacing w:line="360" w:lineRule="auto"/>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（5）中标人将合同内容转包、违法分包的；</w:t>
      </w:r>
      <w:r/>
    </w:p>
    <w:p>
      <w:pPr>
        <w:spacing w:line="360" w:lineRule="auto"/>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（6）中标人故意捏造事实或伪造证明材料，进行虚假恶意投诉或反映的。</w:t>
      </w:r>
      <w:r/>
    </w:p>
    <w:p>
      <w:pPr>
        <w:spacing w:line="360" w:lineRule="auto"/>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20"/>
        <w:jc w:val="both"/>
        <w:spacing w:before="145" w:beforeAutospacing="0" w:after="145" w:afterAutospacing="0"/>
        <w:rPr>
          <w:color w:val="auto"/>
          <w:highlight w:val="none"/>
          <w:shd w:val="clear" w:color="auto" w:fill="auto"/>
        </w:rPr>
      </w:pPr>
      <w:r>
        <w:rPr>
          <w:rFonts w:hint="eastAsia" w:ascii="宋体" w:hAnsi="宋体" w:eastAsia="宋体" w:cs="宋体"/>
          <w:b/>
          <w:color w:val="auto"/>
          <w:highlight w:val="none"/>
          <w:shd w:val="clear" w:color="auto" w:fill="auto"/>
        </w:rPr>
        <w:t xml:space="preserve">七、合同转包或分包</w:t>
      </w:r>
      <w:r/>
    </w:p>
    <w:p>
      <w:pPr>
        <w:pStyle w:val="820"/>
        <w:jc w:val="both"/>
        <w:spacing w:before="145" w:beforeAutospacing="0" w:after="145"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7.1乙方不得将合同标的转包给他人履行。</w:t>
      </w:r>
      <w:r/>
    </w:p>
    <w:p>
      <w:pPr>
        <w:pStyle w:val="820"/>
        <w:jc w:val="both"/>
        <w:spacing w:before="145" w:beforeAutospacing="0" w:after="145"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7.2乙方不得将合同标的分包给他人履行。</w:t>
      </w:r>
      <w:r/>
    </w:p>
    <w:p>
      <w:pPr>
        <w:pStyle w:val="820"/>
        <w:jc w:val="both"/>
        <w:spacing w:before="145" w:beforeAutospacing="0" w:after="145"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或7.2 乙方应当按照响应文件中提供的分包意向协议履行合同。</w:t>
      </w:r>
      <w:r/>
    </w:p>
    <w:p>
      <w:pPr>
        <w:pStyle w:val="820"/>
        <w:jc w:val="both"/>
        <w:spacing w:before="145" w:beforeAutospacing="0" w:after="145"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7.3乙方如有转包或未经甲方同意的分包行为，甲方有权解除合同。</w:t>
      </w:r>
      <w:r/>
    </w:p>
    <w:p>
      <w:pPr>
        <w:pStyle w:val="820"/>
        <w:jc w:val="both"/>
        <w:spacing w:before="120" w:beforeAutospacing="0" w:after="120" w:afterAutospacing="0"/>
        <w:rPr>
          <w:color w:val="auto"/>
          <w:highlight w:val="none"/>
          <w:shd w:val="clear" w:color="auto" w:fill="auto"/>
        </w:rPr>
      </w:pPr>
      <w:r>
        <w:rPr>
          <w:rFonts w:hint="eastAsia" w:ascii="宋体" w:hAnsi="宋体" w:eastAsia="宋体" w:cs="宋体"/>
          <w:b/>
          <w:color w:val="auto"/>
          <w:highlight w:val="none"/>
          <w:shd w:val="clear" w:color="auto" w:fill="auto"/>
        </w:rPr>
        <w:t xml:space="preserve">八、合同款项支付</w:t>
      </w:r>
      <w:r/>
    </w:p>
    <w:p>
      <w:pPr>
        <w:pStyle w:val="82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8.1合同款项的支付方式及进度安排</w:t>
      </w:r>
      <w:r/>
    </w:p>
    <w:p>
      <w:pPr>
        <w:pStyle w:val="820"/>
        <w:numPr>
          <w:ilvl w:val="0"/>
          <w:numId w:val="0"/>
        </w:numPr>
        <w:jc w:val="both"/>
        <w:spacing w:before="0" w:beforeAutospacing="0" w:after="0" w:afterAutospacing="0" w:line="360" w:lineRule="auto"/>
        <w:widowControl w:val="off"/>
        <w:rPr>
          <w:color w:val="ff0000"/>
          <w:highlight w:val="none"/>
          <w:shd w:val="clear" w:color="auto" w:fill="auto"/>
        </w:rPr>
      </w:pPr>
      <w:r>
        <w:rPr>
          <w:rFonts w:hint="eastAsia" w:ascii="宋体" w:hAnsi="宋体" w:eastAsia="宋体" w:cs="宋体"/>
          <w:b w:val="0"/>
          <w:bCs w:val="0"/>
          <w:color w:val="auto"/>
          <w:highlight w:val="none"/>
          <w:shd w:val="clear" w:color="auto" w:fill="auto"/>
        </w:rPr>
        <w:t xml:space="preserve">8.1.1</w:t>
      </w:r>
      <w:r>
        <w:rPr>
          <w:rFonts w:hint="eastAsia" w:ascii="宋体" w:hAnsi="宋体" w:eastAsia="宋体" w:cs="宋体"/>
          <w:b w:val="0"/>
          <w:bCs w:val="0"/>
          <w:color w:val="auto"/>
          <w:highlight w:val="none"/>
          <w:shd w:val="clear" w:color="auto" w:fill="auto"/>
          <w:lang w:val="en-US" w:eastAsia="zh-CN"/>
        </w:rPr>
        <w:t xml:space="preserve"> 合同签订后支付至合同价款的30%</w:t>
      </w:r>
      <w:r>
        <w:rPr>
          <w:rFonts w:hint="eastAsia" w:ascii="宋体" w:hAnsi="宋体" w:eastAsia="宋体" w:cs="宋体"/>
          <w:color w:val="auto"/>
          <w:sz w:val="24"/>
          <w:highlight w:val="none"/>
          <w:lang w:eastAsia="zh-CN"/>
        </w:rPr>
        <w:t xml:space="preserve">；项目形成初步成果，经</w:t>
      </w:r>
      <w:r>
        <w:rPr>
          <w:rFonts w:hint="eastAsia" w:ascii="宋体" w:hAnsi="宋体" w:eastAsia="宋体" w:cs="宋体"/>
          <w:color w:val="auto"/>
          <w:sz w:val="24"/>
          <w:highlight w:val="none"/>
          <w:lang w:val="en-US" w:eastAsia="zh-CN"/>
        </w:rPr>
        <w:t xml:space="preserve">县级验收通过</w:t>
      </w:r>
      <w:r>
        <w:rPr>
          <w:rFonts w:hint="eastAsia" w:ascii="宋体" w:hAnsi="宋体" w:eastAsia="宋体" w:cs="宋体"/>
          <w:color w:val="auto"/>
          <w:sz w:val="24"/>
          <w:highlight w:val="none"/>
          <w:lang w:eastAsia="zh-CN"/>
        </w:rPr>
        <w:t xml:space="preserve">后，支付</w:t>
      </w:r>
      <w:r>
        <w:rPr>
          <w:rFonts w:hint="eastAsia" w:ascii="宋体" w:hAnsi="宋体" w:eastAsia="宋体" w:cs="宋体"/>
          <w:color w:val="auto"/>
          <w:sz w:val="24"/>
          <w:highlight w:val="none"/>
          <w:lang w:val="en-US" w:eastAsia="zh-CN"/>
        </w:rPr>
        <w:t xml:space="preserve">至</w:t>
      </w:r>
      <w:r>
        <w:rPr>
          <w:rFonts w:hint="eastAsia" w:ascii="宋体" w:hAnsi="宋体" w:eastAsia="宋体" w:cs="宋体"/>
          <w:color w:val="auto"/>
          <w:sz w:val="24"/>
          <w:highlight w:val="none"/>
          <w:lang w:eastAsia="zh-CN"/>
        </w:rPr>
        <w:t xml:space="preserve">合同价款的</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0%；项目整体结束，</w:t>
      </w:r>
      <w:r>
        <w:rPr>
          <w:rFonts w:hint="eastAsia" w:ascii="宋体" w:hAnsi="宋体" w:eastAsia="宋体" w:cs="宋体"/>
          <w:color w:val="auto"/>
          <w:sz w:val="24"/>
          <w:highlight w:val="none"/>
          <w:lang w:val="en-US" w:eastAsia="zh-CN"/>
        </w:rPr>
        <w:t xml:space="preserve">市局批复</w:t>
      </w:r>
      <w:r>
        <w:rPr>
          <w:rFonts w:hint="eastAsia" w:ascii="宋体" w:hAnsi="宋体" w:eastAsia="宋体" w:cs="宋体"/>
          <w:color w:val="auto"/>
          <w:sz w:val="24"/>
          <w:highlight w:val="none"/>
          <w:lang w:eastAsia="zh-CN"/>
        </w:rPr>
        <w:t xml:space="preserve">并通过发包方确认无误后</w:t>
      </w:r>
      <w:r>
        <w:rPr>
          <w:rFonts w:hint="eastAsia" w:ascii="宋体" w:hAnsi="宋体" w:eastAsia="宋体" w:cs="宋体"/>
          <w:color w:val="auto"/>
          <w:sz w:val="24"/>
          <w:highlight w:val="none"/>
          <w:lang w:val="en-US" w:eastAsia="zh-CN"/>
        </w:rPr>
        <w:t xml:space="preserve">付清余款</w:t>
      </w:r>
      <w:r>
        <w:rPr>
          <w:rFonts w:hint="eastAsia" w:ascii="宋体" w:hAnsi="宋体" w:eastAsia="宋体" w:cs="宋体"/>
          <w:color w:val="auto"/>
          <w:sz w:val="24"/>
          <w:highlight w:val="none"/>
          <w:lang w:eastAsia="zh-CN"/>
        </w:rPr>
        <w:t xml:space="preserve">。（备注：在签订合同时，供应商明确表示无需预付款或者主动要求降低预付款比例的，采购人可不适用前述规定。）</w:t>
      </w:r>
      <w:r/>
    </w:p>
    <w:p>
      <w:pPr>
        <w:pStyle w:val="820"/>
        <w:jc w:val="both"/>
        <w:spacing w:before="145" w:beforeAutospacing="0" w:after="145" w:afterAutospacing="0"/>
        <w:rPr>
          <w:color w:val="auto"/>
          <w:highlight w:val="none"/>
          <w:shd w:val="clear" w:color="auto" w:fill="auto"/>
        </w:rPr>
      </w:pPr>
      <w:r>
        <w:rPr>
          <w:rFonts w:hint="eastAsia" w:ascii="宋体" w:hAnsi="宋体" w:eastAsia="宋体" w:cs="宋体"/>
          <w:b/>
          <w:color w:val="auto"/>
          <w:highlight w:val="none"/>
          <w:shd w:val="clear" w:color="auto" w:fill="auto"/>
        </w:rPr>
        <w:t xml:space="preserve">九、税费</w:t>
      </w:r>
      <w:r/>
    </w:p>
    <w:p>
      <w:pPr>
        <w:pStyle w:val="820"/>
        <w:jc w:val="both"/>
        <w:spacing w:before="145" w:beforeAutospacing="0" w:after="145"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9.1本合同执行中相关的一切税费均由乙方负担。</w:t>
      </w:r>
      <w:r/>
    </w:p>
    <w:p>
      <w:pPr>
        <w:pStyle w:val="820"/>
        <w:jc w:val="both"/>
        <w:spacing w:before="120" w:beforeAutospacing="0" w:after="120" w:afterAutospacing="0"/>
        <w:rPr>
          <w:color w:val="auto"/>
          <w:highlight w:val="none"/>
          <w:shd w:val="clear" w:color="auto" w:fill="auto"/>
        </w:rPr>
      </w:pPr>
      <w:r>
        <w:rPr>
          <w:rFonts w:hint="eastAsia" w:ascii="宋体" w:hAnsi="宋体" w:eastAsia="宋体" w:cs="宋体"/>
          <w:b/>
          <w:color w:val="auto"/>
          <w:highlight w:val="none"/>
          <w:shd w:val="clear" w:color="auto" w:fill="auto"/>
        </w:rPr>
        <w:t xml:space="preserve">十、项目验收</w:t>
      </w:r>
      <w:r/>
    </w:p>
    <w:p>
      <w:pPr>
        <w:pStyle w:val="820"/>
        <w:ind w:left="480" w:hanging="48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10.1 甲方依法组织履约验收工作。</w:t>
      </w:r>
      <w:r/>
    </w:p>
    <w:p>
      <w:pPr>
        <w:pStyle w:val="820"/>
        <w:ind w:left="480" w:hanging="48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10.2 甲方在组织履约验收前，将根据项目特点制定验收方案，明确履约验收的</w:t>
      </w:r>
      <w:r/>
    </w:p>
    <w:p>
      <w:pPr>
        <w:pStyle w:val="820"/>
        <w:ind w:left="480" w:hanging="48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时间、方式、程序等内容，并可根据项目特点对服务期内的服务实施情况进行分</w:t>
      </w:r>
      <w:r/>
    </w:p>
    <w:p>
      <w:pPr>
        <w:pStyle w:val="820"/>
        <w:ind w:left="480" w:hanging="48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期考核，综合考核情况和服务效果进行验收。乙方应根据验收方案内容做好相应</w:t>
      </w:r>
      <w:r/>
    </w:p>
    <w:p>
      <w:pPr>
        <w:pStyle w:val="820"/>
        <w:ind w:left="480" w:hanging="48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配合工作。</w:t>
      </w:r>
      <w:r/>
    </w:p>
    <w:p>
      <w:pPr>
        <w:pStyle w:val="820"/>
        <w:ind w:left="480" w:hanging="48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10.3 对于实际使用人和甲方分离的项目，甲方邀请实际使用人参与验收。</w:t>
      </w:r>
      <w:r/>
    </w:p>
    <w:p>
      <w:pPr>
        <w:pStyle w:val="820"/>
        <w:ind w:left="480" w:hanging="48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10.4 如有必要，甲方邀请参加本项目的其他供应商或第三方专业机构及专家参</w:t>
      </w:r>
      <w:r/>
    </w:p>
    <w:p>
      <w:pPr>
        <w:pStyle w:val="820"/>
        <w:ind w:left="480" w:hanging="48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与验收，相关意见将作为验收书的参考资料。</w:t>
      </w:r>
      <w:r/>
    </w:p>
    <w:p>
      <w:pPr>
        <w:pStyle w:val="820"/>
        <w:ind w:left="480" w:hanging="48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10.5 甲方成立验收小组，按照采购合同的约定对乙方的履约情况进行验收。验</w:t>
      </w:r>
      <w:r/>
    </w:p>
    <w:p>
      <w:pPr>
        <w:pStyle w:val="820"/>
        <w:ind w:left="480" w:hanging="48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收时,甲方按照采购合同的约定对每一项技术、服务、安全标准的履约情况进行</w:t>
      </w:r>
      <w:r/>
    </w:p>
    <w:p>
      <w:pPr>
        <w:pStyle w:val="820"/>
        <w:ind w:left="480" w:hanging="48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确认。验收结束后,验收小组出具验收书,列明各项标准的验收情况及项目总体评</w:t>
      </w:r>
      <w:r/>
    </w:p>
    <w:p>
      <w:pPr>
        <w:pStyle w:val="820"/>
        <w:ind w:left="480" w:hanging="48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价,由验收双方共同签署。验收结果与采购合同约定的资金支付及履约保证金返</w:t>
      </w:r>
      <w:r/>
    </w:p>
    <w:p>
      <w:pPr>
        <w:pStyle w:val="820"/>
        <w:ind w:left="480" w:hanging="48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还条件挂钩。履约验收的各项资料存档备查。</w:t>
      </w:r>
      <w:r/>
    </w:p>
    <w:p>
      <w:pPr>
        <w:pStyle w:val="820"/>
        <w:ind w:left="480" w:hanging="48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10.6 验收合格的项目,甲方根据采购合同的约定及时向乙方支付合同款项、退还</w:t>
      </w:r>
      <w:r/>
    </w:p>
    <w:p>
      <w:pPr>
        <w:pStyle w:val="820"/>
        <w:ind w:left="480" w:hanging="48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履约保证金。验收不合格的项目，甲方依法及时处理。采购合同的履行、违约责</w:t>
      </w:r>
      <w:r/>
    </w:p>
    <w:p>
      <w:pPr>
        <w:pStyle w:val="820"/>
        <w:ind w:left="480" w:hanging="48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任和解决争议的方式等适用《</w:t>
      </w:r>
      <w:r>
        <w:rPr>
          <w:rFonts w:hint="eastAsia" w:ascii="宋体" w:hAnsi="宋体" w:eastAsia="宋体" w:cs="宋体"/>
          <w:color w:val="auto"/>
          <w:highlight w:val="none"/>
          <w:shd w:val="clear" w:color="auto" w:fill="auto"/>
          <w:lang w:eastAsia="zh-CN"/>
        </w:rPr>
        <w:t xml:space="preserve">中华人民共和国民法典</w:t>
      </w:r>
      <w:r>
        <w:rPr>
          <w:rFonts w:hint="eastAsia" w:ascii="宋体" w:hAnsi="宋体" w:eastAsia="宋体" w:cs="宋体"/>
          <w:color w:val="auto"/>
          <w:highlight w:val="none"/>
          <w:shd w:val="clear" w:color="auto" w:fill="auto"/>
        </w:rPr>
        <w:t xml:space="preserve">》。乙方在履约过程中有政</w:t>
      </w:r>
      <w:r/>
    </w:p>
    <w:p>
      <w:pPr>
        <w:pStyle w:val="820"/>
        <w:ind w:left="480" w:hanging="48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府采购法律法规规定的违法违规情形的,甲方将及时报告本级财政部门。</w:t>
      </w:r>
      <w:r/>
    </w:p>
    <w:p>
      <w:pPr>
        <w:pStyle w:val="820"/>
        <w:jc w:val="both"/>
        <w:spacing w:before="120" w:beforeAutospacing="0" w:after="120" w:afterAutospacing="0"/>
        <w:rPr>
          <w:color w:val="auto"/>
          <w:highlight w:val="none"/>
          <w:shd w:val="clear" w:color="auto" w:fill="auto"/>
        </w:rPr>
      </w:pPr>
      <w:r>
        <w:rPr>
          <w:rFonts w:hint="eastAsia" w:ascii="宋体" w:hAnsi="宋体" w:eastAsia="宋体" w:cs="宋体"/>
          <w:b/>
          <w:color w:val="auto"/>
          <w:highlight w:val="none"/>
          <w:shd w:val="clear" w:color="auto" w:fill="auto"/>
        </w:rPr>
        <w:t xml:space="preserve">十一、违约责任</w:t>
      </w:r>
      <w:r/>
    </w:p>
    <w:p>
      <w:pPr>
        <w:pStyle w:val="820"/>
        <w:ind w:left="410" w:hanging="41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11.1甲方无正当理由拒绝接受乙方提供的合同标的的，甲方向乙方偿付拒绝接</w:t>
      </w:r>
      <w:r/>
    </w:p>
    <w:p>
      <w:pPr>
        <w:pStyle w:val="820"/>
        <w:ind w:left="410" w:hanging="41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受合同价款总值</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的违约金。</w:t>
      </w:r>
      <w:r/>
    </w:p>
    <w:p>
      <w:pPr>
        <w:pStyle w:val="820"/>
        <w:ind w:left="410" w:hanging="41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11.2 甲方无故逾期验收和办理合同款项支付手续的,甲方应按逾期付款总</w:t>
      </w:r>
      <w:r/>
    </w:p>
    <w:p>
      <w:pPr>
        <w:pStyle w:val="820"/>
        <w:ind w:left="410" w:hanging="41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每日向乙方支付违约金。</w:t>
      </w:r>
      <w:r/>
    </w:p>
    <w:p>
      <w:pPr>
        <w:pStyle w:val="820"/>
        <w:ind w:left="410" w:hanging="41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11.3 乙方逾期交付合同标的的，乙方应按逾期交付合同总额每日千分之六向甲</w:t>
      </w:r>
      <w:r/>
    </w:p>
    <w:p>
      <w:pPr>
        <w:pStyle w:val="820"/>
        <w:ind w:left="410" w:hanging="41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方支付违约金，由甲方从待付合同款项中扣除。逾期超过约定日期10个工作日</w:t>
      </w:r>
      <w:r/>
    </w:p>
    <w:p>
      <w:pPr>
        <w:pStyle w:val="820"/>
        <w:ind w:left="410" w:hanging="41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不能交付合同标的的，甲方可解除本合同。乙方因逾期交付合同标的或因其他违</w:t>
      </w:r>
      <w:r/>
    </w:p>
    <w:p>
      <w:pPr>
        <w:pStyle w:val="820"/>
        <w:ind w:left="410" w:hanging="41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约行为导致甲方解除合同的，乙方应向甲方支付合同价款总额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的违约</w:t>
      </w:r>
      <w:r/>
    </w:p>
    <w:p>
      <w:pPr>
        <w:pStyle w:val="820"/>
        <w:ind w:left="410" w:hanging="41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金，如造成甲方损失超过违约金的，超出部分由乙方继续承担赔偿责任。 </w:t>
      </w:r>
      <w:r/>
    </w:p>
    <w:p>
      <w:pPr>
        <w:pStyle w:val="820"/>
        <w:ind w:left="410" w:hanging="41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11.4 乙方交付合同标的的标准不符合合同规定及磋商文件规定标准的，甲方有</w:t>
      </w:r>
      <w:r/>
    </w:p>
    <w:p>
      <w:pPr>
        <w:pStyle w:val="820"/>
        <w:ind w:left="410" w:hanging="41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权拒绝接受合同标的，并可单方面解除合同。</w:t>
      </w:r>
      <w:r/>
    </w:p>
    <w:p>
      <w:pPr>
        <w:pStyle w:val="820"/>
        <w:jc w:val="both"/>
        <w:spacing w:before="120" w:beforeAutospacing="0" w:after="120" w:afterAutospacing="0"/>
        <w:rPr>
          <w:color w:val="auto"/>
          <w:highlight w:val="none"/>
          <w:shd w:val="clear" w:color="auto" w:fill="auto"/>
        </w:rPr>
      </w:pPr>
      <w:r>
        <w:rPr>
          <w:rFonts w:hint="eastAsia" w:ascii="宋体" w:hAnsi="宋体" w:eastAsia="宋体" w:cs="宋体"/>
          <w:b/>
          <w:color w:val="auto"/>
          <w:highlight w:val="none"/>
          <w:shd w:val="clear" w:color="auto" w:fill="auto"/>
        </w:rPr>
        <w:t xml:space="preserve">十二、不可抗力事件处理</w:t>
      </w:r>
      <w:r/>
    </w:p>
    <w:p>
      <w:pPr>
        <w:pStyle w:val="820"/>
        <w:ind w:left="480" w:hanging="48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12.1 在合同有效期内，任何一方因不可抗力事件导致不能履行合同，则合同履</w:t>
      </w:r>
      <w:r/>
    </w:p>
    <w:p>
      <w:pPr>
        <w:pStyle w:val="820"/>
        <w:ind w:left="480" w:hanging="48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行期可延长，其延长期与不可抗力影响 期相同。</w:t>
      </w:r>
      <w:r/>
    </w:p>
    <w:p>
      <w:pPr>
        <w:pStyle w:val="82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12.2 不可抗力事件发生后，应立即通知对方，并寄送有关权威机构出具的证明。</w:t>
      </w:r>
      <w:r/>
    </w:p>
    <w:p>
      <w:pPr>
        <w:pStyle w:val="82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12.3 不可抗力事件延续120天以上，双方应通过友好协商，确定是否继续履行合同。</w:t>
      </w:r>
      <w:r/>
    </w:p>
    <w:p>
      <w:pPr>
        <w:pStyle w:val="820"/>
        <w:jc w:val="both"/>
        <w:spacing w:before="120" w:beforeAutospacing="0" w:after="120" w:afterAutospacing="0"/>
        <w:rPr>
          <w:color w:val="auto"/>
          <w:highlight w:val="none"/>
          <w:shd w:val="clear" w:color="auto" w:fill="auto"/>
        </w:rPr>
      </w:pPr>
      <w:r>
        <w:rPr>
          <w:rFonts w:hint="eastAsia" w:ascii="宋体" w:hAnsi="宋体" w:eastAsia="宋体" w:cs="宋体"/>
          <w:b/>
          <w:color w:val="auto"/>
          <w:highlight w:val="none"/>
          <w:shd w:val="clear" w:color="auto" w:fill="auto"/>
        </w:rPr>
        <w:t xml:space="preserve">十三、解决争议的方法</w:t>
      </w:r>
      <w:r/>
    </w:p>
    <w:p>
      <w:pPr>
        <w:pStyle w:val="82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13.1双方在签订、履行合同中所发生的一切争议，应通过友好协商解决。如协商不成，由甲方住所地人民法院管辖。</w:t>
      </w:r>
      <w:r/>
    </w:p>
    <w:p>
      <w:pPr>
        <w:pStyle w:val="820"/>
        <w:jc w:val="both"/>
        <w:spacing w:before="120" w:beforeAutospacing="0" w:after="120" w:afterAutospacing="0"/>
        <w:rPr>
          <w:color w:val="auto"/>
          <w:highlight w:val="none"/>
          <w:shd w:val="clear" w:color="auto" w:fill="auto"/>
        </w:rPr>
      </w:pPr>
      <w:r>
        <w:rPr>
          <w:rFonts w:hint="eastAsia" w:ascii="宋体" w:hAnsi="宋体" w:eastAsia="宋体" w:cs="宋体"/>
          <w:b/>
          <w:color w:val="auto"/>
          <w:highlight w:val="none"/>
          <w:shd w:val="clear" w:color="auto" w:fill="auto"/>
        </w:rPr>
        <w:t xml:space="preserve">十四、合同生效及其</w:t>
      </w:r>
      <w:r>
        <w:rPr>
          <w:rFonts w:hint="eastAsia" w:ascii="宋体" w:hAnsi="宋体" w:eastAsia="宋体" w:cs="宋体"/>
          <w:b/>
          <w:color w:val="auto"/>
          <w:highlight w:val="none"/>
          <w:shd w:val="clear" w:color="auto" w:fill="auto"/>
          <w:lang w:eastAsia="zh-CN"/>
        </w:rPr>
        <w:t xml:space="preserve">他</w:t>
      </w:r>
      <w:r/>
    </w:p>
    <w:p>
      <w:pPr>
        <w:pStyle w:val="82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14.1 合同经双方法定代表人或授权委托代表人签字并加盖单位公章后生效。</w:t>
      </w:r>
      <w:r/>
    </w:p>
    <w:p>
      <w:pPr>
        <w:pStyle w:val="82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14.2本合同未尽事宜，遵照《民法典</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政府采购法》有关条文执行。</w:t>
      </w:r>
      <w:r/>
    </w:p>
    <w:p>
      <w:pPr>
        <w:pStyle w:val="820"/>
        <w:ind w:left="480" w:hanging="48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14.3 本合同正本一式三份，具有同等法律效力，甲方、乙方及财政监管部门各执一份。</w:t>
      </w:r>
      <w:r/>
    </w:p>
    <w:p>
      <w:pPr>
        <w:pStyle w:val="820"/>
        <w:ind w:firstLine="240"/>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甲方：               乙方： </w:t>
      </w:r>
      <w:r/>
    </w:p>
    <w:p>
      <w:pPr>
        <w:pStyle w:val="820"/>
        <w:ind w:firstLine="240"/>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地址：               地址： </w:t>
      </w:r>
      <w:r/>
    </w:p>
    <w:p>
      <w:pPr>
        <w:pStyle w:val="820"/>
        <w:ind w:firstLine="240"/>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法定代表人或授权代表：       法定代表人或授权代表：</w:t>
      </w:r>
      <w:r/>
    </w:p>
    <w:p>
      <w:pPr>
        <w:pStyle w:val="820"/>
        <w:ind w:firstLine="240"/>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联系电话：             联系电话：          </w:t>
      </w:r>
      <w:r/>
    </w:p>
    <w:p>
      <w:pPr>
        <w:pStyle w:val="820"/>
        <w:ind w:firstLine="420"/>
        <w:jc w:val="both"/>
        <w:spacing w:beforeAutospacing="0" w:afterAutospacing="0" w:line="0" w:lineRule="atLeast"/>
        <w:rPr>
          <w:rFonts w:hint="eastAsia" w:ascii="宋体" w:hAnsi="宋体" w:eastAsia="宋体" w:cs="宋体"/>
          <w:color w:val="auto"/>
          <w:highlight w:val="none"/>
          <w:shd w:val="clear" w:color="auto" w:fill="auto"/>
        </w:rPr>
      </w:pPr>
      <w:r>
        <w:rPr>
          <w:rFonts w:ascii="Times New Roman" w:hAnsi="Times New Roman"/>
          <w:color w:val="auto"/>
          <w:sz w:val="21"/>
          <w:szCs w:val="21"/>
          <w:highlight w:val="none"/>
          <w:shd w:val="clear" w:color="auto" w:fill="auto"/>
        </w:rPr>
        <w:t xml:space="preserve">                                     </w:t>
      </w:r>
      <w:r>
        <w:rPr>
          <w:rFonts w:hint="eastAsia" w:ascii="宋体" w:hAnsi="宋体" w:eastAsia="宋体" w:cs="宋体"/>
          <w:color w:val="auto"/>
          <w:highlight w:val="none"/>
          <w:shd w:val="clear" w:color="auto" w:fill="auto"/>
        </w:rPr>
        <w:t xml:space="preserve">     签订日期：      年    月   日</w:t>
      </w:r>
      <w:r/>
    </w:p>
    <w:p>
      <w:pPr>
        <w:pStyle w:val="820"/>
        <w:jc w:val="center"/>
        <w:spacing w:before="120" w:beforeAutospacing="0" w:after="120" w:afterAutospacing="0" w:line="0" w:lineRule="atLeast"/>
        <w:rPr>
          <w:color w:val="auto"/>
          <w:highlight w:val="none"/>
        </w:rPr>
      </w:pPr>
      <w:r/>
      <w:bookmarkStart w:id="153" w:name="_Toc479757211"/>
      <w:r/>
      <w:bookmarkStart w:id="154" w:name="_Toc16938590"/>
      <w:r/>
      <w:bookmarkStart w:id="155" w:name="_Toc462564139"/>
      <w:r/>
      <w:bookmarkStart w:id="156" w:name="_Toc120614244"/>
      <w:r/>
      <w:bookmarkStart w:id="157" w:name="_Toc20823346"/>
      <w:r/>
      <w:bookmarkStart w:id="158" w:name="_Hlt16619369"/>
      <w:r/>
      <w:bookmarkStart w:id="159" w:name="_Hlt16619350"/>
      <w:r>
        <w:rPr>
          <w:rFonts w:hint="eastAsia" w:ascii="黑体" w:hAnsi="宋体" w:eastAsia="黑体" w:cs="黑体"/>
          <w:color w:val="auto"/>
          <w:sz w:val="44"/>
          <w:szCs w:val="44"/>
          <w:highlight w:val="none"/>
          <w:shd w:val="clear" w:color="auto" w:fill="auto"/>
        </w:rPr>
        <w:br w:type="page" w:clear="all"/>
      </w:r>
      <w:r>
        <w:rPr>
          <w:rFonts w:hint="eastAsia" w:ascii="黑体" w:hAnsi="宋体" w:eastAsia="黑体" w:cs="黑体"/>
          <w:color w:val="auto"/>
          <w:sz w:val="44"/>
          <w:szCs w:val="44"/>
          <w:highlight w:val="none"/>
        </w:rPr>
        <w:t xml:space="preserve">第</w:t>
      </w:r>
      <w:bookmarkEnd w:id="153"/>
      <w:r>
        <w:rPr>
          <w:rFonts w:hint="eastAsia" w:ascii="黑体" w:hAnsi="宋体" w:eastAsia="黑体" w:cs="黑体"/>
          <w:color w:val="auto"/>
          <w:sz w:val="44"/>
          <w:szCs w:val="44"/>
          <w:highlight w:val="none"/>
        </w:rPr>
        <w:t xml:space="preserve">四章 采购需求</w:t>
      </w:r>
      <w:bookmarkEnd w:id="154"/>
      <w:r/>
      <w:bookmarkEnd w:id="155"/>
      <w:r/>
      <w:bookmarkEnd w:id="156"/>
      <w:r/>
      <w:bookmarkEnd w:id="157"/>
      <w:r/>
      <w:bookmarkStart w:id="160" w:name="_Toc26554093"/>
      <w:r/>
      <w:bookmarkEnd w:id="160"/>
      <w:r/>
      <w:bookmarkStart w:id="161" w:name="_Toc49090575"/>
      <w:r/>
      <w:bookmarkEnd w:id="161"/>
      <w:r/>
      <w:r/>
    </w:p>
    <w:p>
      <w:pPr>
        <w:pStyle w:val="820"/>
        <w:jc w:val="both"/>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项目属性：服务类项目</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本次采购项目为2025年占补平衡客土检测采购项目。供应商所投内容必须满足以下要求，不得有负偏离。</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一．采购项目概况（简介）：</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为保证可以长期稳定利用的耕地不再减少，守住18亿亩耕地红线，2023年7月，习近平总书记在二十届中央财经委员会第二次会议上强调“要改革完善耕地占补平衡制度，将各类对耕地的占用统一纳入占补平衡管理，坚持‘以补定占’，健全补充耕地质量验收制度。”2024年，自然资源部在全国自然资源工作会议重点部署“扎实开展耕地保护和粮食安全责任制‘首考’，建立健全‘长牙齿’硬措施，研究推动批量增加耕地。”</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根据《中共中央办公厅</w:t>
      </w:r>
      <w:r>
        <w:rPr>
          <w:rFonts w:hint="eastAsia" w:ascii="宋体" w:hAnsi="宋体" w:eastAsia="宋体" w:cs="宋体"/>
          <w:color w:val="auto"/>
          <w:sz w:val="24"/>
          <w:highlight w:val="none"/>
          <w:lang w:val="en-US" w:eastAsia="zh-CN"/>
        </w:rPr>
        <w:t xml:space="preserve"> 国务院办公厅关于加强耕地保护提升耕地质量完善占补平衡的意见》（中办发〔2024〕13号）、《自然资源部 农业农村部关于改革完善耕地占补平衡管理的通知》（自然资发〔2024〕204号）、《中共江苏省委办公厅 省政府办公厅关于加强耕地保护提升耕地质量完善占补平衡的实施意见》（2024年8月26日）等文件，深入贯彻落实党中央国务院关于耕地保护的决策部署和改革完善耕地占补平衡的有关要求，统筹做好耕地保护各项工作，常州市天宁区郑陆镇人民政府布置了占补平衡工作，稳妥有序推动辖区内村级农村集体经济组织开展补充耕地工作。</w:t>
      </w:r>
      <w:r/>
    </w:p>
    <w:p>
      <w:pPr>
        <w:ind w:firstLine="360"/>
        <w:jc w:val="left"/>
        <w:spacing w:line="360" w:lineRule="auto"/>
        <w:widowControl/>
        <w:tabs>
          <w:tab w:val="left" w:pos="360" w:leader="none"/>
          <w:tab w:val="left" w:pos="96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二.工作内容：</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响水县2025年占补平衡客土检测</w:t>
      </w:r>
      <w:r>
        <w:rPr>
          <w:rFonts w:hint="eastAsia" w:ascii="宋体" w:hAnsi="宋体" w:eastAsia="宋体" w:cs="宋体"/>
          <w:color w:val="auto"/>
          <w:sz w:val="24"/>
          <w:highlight w:val="none"/>
          <w:lang w:val="en-US" w:eastAsia="zh-CN"/>
        </w:rPr>
        <w:t xml:space="preserve">采购项目计划实施面积约4000亩， 根据《江苏省国土资源厅关于加强土地整治项目中客土管理的通知》(苏国土资发(2018)29号)、《江苏省自然资源厅关于加强国土空间生态修复工程质量管理的通知》(苏自然资发(2019)91号)和江苏省自然资源厅印发《关于加强土地整治项目中客土管理的通知》等相关文件精神，明确要求凡土地整治项目需要客士的，必须出具经有关部门审查合格的客土鉴定报告，做到外来土源逢土必查，确保客土质量符合规定要求，有效管控土地综合整治中土壤环境质量风险，促进全省耕地“数量、质量、生态”三位一体保护。</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三.工作依据</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(1)《中华人民共和国土地污染防治法》;</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(2)《关于进一步加强耕地保护和改进占补平衡的实施意见》;</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(3)《江苏省国土资源厅关于加强土地整治项目中客土管理的通知》(苏国士资发(2018)29 号):</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(4)《江苏省自然资源厅关于加强国土空间生态修复工程质量管理的通知》(苏国土资发(2019)91号):</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(5)《土壤环境质量 农用地土壤污染风险管控标准(试行)》(GB15618-2018):(6)《土壤环境质量 建设用地土壤污染风险管控标准(试行)》(GB36600-2018):</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(7)《农用地土壤环境风险评价技术规定(试行)》环办土壤函(2018)1479</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(8)《农用地详查土壤样品采集流转制备和保存技术规定》;</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(9)《污染地块风险管控与土壤修复效果评估技术导则(试行)》(HJ25.5-2018);</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(10)《土地综合整治项目客土调查和检测工作指南(试行)》;</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lang w:eastAsia="zh-CN"/>
        </w:rPr>
        <w:t xml:space="preserve">、成果要求</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1、工作期限</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自合同签订之日起至2026年12月31日止，若因上级政策等原因需要延长工作期限的，经发包方同意后可适当延长工作期限。</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2、成果内容</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根据该项目的主要工作，项目的成果内容包括文本报告、统计表格、</w:t>
      </w:r>
      <w:r>
        <w:rPr>
          <w:rFonts w:hint="eastAsia" w:ascii="宋体" w:hAnsi="宋体" w:eastAsia="宋体" w:cs="宋体"/>
          <w:color w:val="auto"/>
          <w:sz w:val="24"/>
          <w:highlight w:val="none"/>
          <w:lang w:val="en-US" w:eastAsia="zh-CN"/>
        </w:rPr>
        <w:t xml:space="preserve">影像资料</w:t>
      </w:r>
      <w:r>
        <w:rPr>
          <w:rFonts w:hint="eastAsia" w:ascii="宋体" w:hAnsi="宋体" w:eastAsia="宋体" w:cs="宋体"/>
          <w:color w:val="auto"/>
          <w:sz w:val="24"/>
          <w:highlight w:val="none"/>
          <w:lang w:eastAsia="zh-CN"/>
        </w:rPr>
        <w:t xml:space="preserve">、数据图层及附件材料等，具体成果内容以上级有关要求为准。</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3、结项要求</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需在项目工作期内完成各项工作内容，形成完整的项目成果，项目成果需符合发包方及上级部门的相关要求。</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lang w:eastAsia="zh-CN"/>
        </w:rPr>
        <w:t xml:space="preserve">、付款方式</w:t>
      </w:r>
      <w:r/>
    </w:p>
    <w:p>
      <w:pPr>
        <w:pStyle w:val="820"/>
        <w:numPr>
          <w:ilvl w:val="0"/>
          <w:numId w:val="0"/>
        </w:numPr>
        <w:ind w:firstLine="480"/>
        <w:jc w:val="both"/>
        <w:spacing w:before="0" w:beforeAutospacing="0" w:after="0" w:afterAutospacing="0" w:line="360" w:lineRule="auto"/>
        <w:widowControl w:val="off"/>
        <w:rPr>
          <w:rFonts w:hint="eastAsia" w:cs="Times New Roman" w:asciiTheme="minorHAnsi" w:hAnsiTheme="minorHAnsi" w:eastAsiaTheme="minorEastAsia"/>
          <w:color w:val="000000"/>
          <w:sz w:val="24"/>
          <w:szCs w:val="24"/>
          <w:highlight w:val="none"/>
          <w:lang w:val="en-US" w:eastAsia="zh-CN" w:bidi="ar-SA"/>
        </w:rPr>
      </w:pPr>
      <w:r>
        <w:rPr>
          <w:rFonts w:hint="eastAsia" w:ascii="宋体" w:hAnsi="宋体" w:eastAsia="宋体" w:cs="宋体"/>
          <w:b w:val="0"/>
          <w:bCs w:val="0"/>
          <w:color w:val="auto"/>
          <w:highlight w:val="none"/>
          <w:shd w:val="clear" w:color="auto" w:fill="auto"/>
          <w:lang w:val="en-US" w:eastAsia="zh-CN"/>
        </w:rPr>
        <w:t xml:space="preserve">合同签订后支付至合同价款的30%</w:t>
      </w:r>
      <w:r>
        <w:rPr>
          <w:rFonts w:hint="eastAsia" w:ascii="宋体" w:hAnsi="宋体" w:eastAsia="宋体" w:cs="宋体"/>
          <w:color w:val="auto"/>
          <w:sz w:val="24"/>
          <w:highlight w:val="none"/>
          <w:lang w:eastAsia="zh-CN"/>
        </w:rPr>
        <w:t xml:space="preserve">；项目形成初步成果，经</w:t>
      </w:r>
      <w:r>
        <w:rPr>
          <w:rFonts w:hint="eastAsia" w:ascii="宋体" w:hAnsi="宋体" w:eastAsia="宋体" w:cs="宋体"/>
          <w:color w:val="auto"/>
          <w:sz w:val="24"/>
          <w:highlight w:val="none"/>
          <w:lang w:val="en-US" w:eastAsia="zh-CN"/>
        </w:rPr>
        <w:t xml:space="preserve">县级验收通过</w:t>
      </w:r>
      <w:r>
        <w:rPr>
          <w:rFonts w:hint="eastAsia" w:ascii="宋体" w:hAnsi="宋体" w:eastAsia="宋体" w:cs="宋体"/>
          <w:color w:val="auto"/>
          <w:sz w:val="24"/>
          <w:highlight w:val="none"/>
          <w:lang w:eastAsia="zh-CN"/>
        </w:rPr>
        <w:t xml:space="preserve">后，支付</w:t>
      </w:r>
      <w:r>
        <w:rPr>
          <w:rFonts w:hint="eastAsia" w:ascii="宋体" w:hAnsi="宋体" w:eastAsia="宋体" w:cs="宋体"/>
          <w:color w:val="auto"/>
          <w:sz w:val="24"/>
          <w:highlight w:val="none"/>
          <w:lang w:val="en-US" w:eastAsia="zh-CN"/>
        </w:rPr>
        <w:t xml:space="preserve">至</w:t>
      </w:r>
      <w:r>
        <w:rPr>
          <w:rFonts w:hint="eastAsia" w:ascii="宋体" w:hAnsi="宋体" w:eastAsia="宋体" w:cs="宋体"/>
          <w:color w:val="auto"/>
          <w:sz w:val="24"/>
          <w:highlight w:val="none"/>
          <w:lang w:eastAsia="zh-CN"/>
        </w:rPr>
        <w:t xml:space="preserve">合同价款的</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0%；项目整体结束，</w:t>
      </w:r>
      <w:r>
        <w:rPr>
          <w:rFonts w:hint="eastAsia" w:ascii="宋体" w:hAnsi="宋体" w:eastAsia="宋体" w:cs="宋体"/>
          <w:color w:val="auto"/>
          <w:sz w:val="24"/>
          <w:highlight w:val="none"/>
          <w:lang w:val="en-US" w:eastAsia="zh-CN"/>
        </w:rPr>
        <w:t xml:space="preserve">市局批复</w:t>
      </w:r>
      <w:r>
        <w:rPr>
          <w:rFonts w:hint="eastAsia" w:ascii="宋体" w:hAnsi="宋体" w:eastAsia="宋体" w:cs="宋体"/>
          <w:color w:val="auto"/>
          <w:sz w:val="24"/>
          <w:highlight w:val="none"/>
          <w:lang w:eastAsia="zh-CN"/>
        </w:rPr>
        <w:t xml:space="preserve">并通过发包方确认无误后</w:t>
      </w:r>
      <w:r>
        <w:rPr>
          <w:rFonts w:hint="eastAsia" w:ascii="宋体" w:hAnsi="宋体" w:eastAsia="宋体" w:cs="宋体"/>
          <w:color w:val="auto"/>
          <w:sz w:val="24"/>
          <w:highlight w:val="none"/>
          <w:lang w:val="en-US" w:eastAsia="zh-CN"/>
        </w:rPr>
        <w:t xml:space="preserve">付清余款</w:t>
      </w:r>
      <w:r>
        <w:rPr>
          <w:rFonts w:hint="eastAsia" w:ascii="宋体" w:hAnsi="宋体" w:eastAsia="宋体" w:cs="宋体"/>
          <w:color w:val="auto"/>
          <w:sz w:val="24"/>
          <w:highlight w:val="none"/>
          <w:lang w:eastAsia="zh-CN"/>
        </w:rPr>
        <w:t xml:space="preserve">。</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color w:val="000000"/>
          <w:highlight w:val="none"/>
          <w:lang w:val="en-US" w:eastAsia="zh-CN"/>
        </w:rPr>
      </w:pPr>
      <w:r>
        <w:rPr>
          <w:rFonts w:hint="eastAsia" w:cs="Times New Roman"/>
          <w:color w:val="000000"/>
          <w:highlight w:val="none"/>
          <w:lang w:val="en-US" w:eastAsia="zh-CN"/>
        </w:rPr>
        <w:t xml:space="preserve">六、投标要求</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 xml:space="preserve">1、</w:t>
      </w:r>
      <w:r>
        <w:rPr>
          <w:rFonts w:hint="eastAsia" w:cs="Times New Roman"/>
          <w:color w:val="000000"/>
          <w:highlight w:val="none"/>
          <w:lang w:val="en-US" w:eastAsia="zh-CN"/>
        </w:rPr>
        <w:t xml:space="preserve">供应商应当具有丰富的跟本项目有关的服务案例和完善的体系认证</w:t>
      </w:r>
      <w:r>
        <w:rPr>
          <w:rFonts w:hint="eastAsia" w:cs="Times New Roman"/>
          <w:b w:val="0"/>
          <w:bCs w:val="0"/>
          <w:color w:val="auto"/>
          <w:highlight w:val="none"/>
          <w:lang w:val="en-US" w:eastAsia="zh-CN"/>
        </w:rPr>
        <w:t xml:space="preserve">，如:质量管理体系认证证书、环境管理体系认证证书、职业健康安全管理体系认证证书、信息技术服务管理体系认证证书。以及应当具有完善的项目组人员配备以及良好的相关信誉。中标人严格执行招标文件要求和有关技术标准、规范要求，保质、保量、按时完成工作。</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2、根据项目需求，介绍项目概况。内容应当包括但不限于以下内容:</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①调查背景:开展科学、规范的客土检测调查；</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②调查原则:根据国家法律法规及行业规范，制定项目调查原则；</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③调查依据:根据本次项目的调查内容，结合国家法律法规及行业规范，明确项目调查依据；</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3、根据项目需求应制定项目实施方案，内容应当包括但不限于以下内容:</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①客土来源调查</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主要调查客土来源的地点、土壤类型、土源地土地利用历史和现状、周边污染源分布情况；</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②调查和检测的工作量确定</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（1）、工作量确定</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根据确定的取土土方量，计算取土空间边界，确定采样数量和测试指标。</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对于客土进行取样，根据取土体积大小设置采样单元和数量。原则上每个采样单元（每个样品代表的土方量）不应超过1000m</w:t>
      </w:r>
      <w:r>
        <w:rPr>
          <w:rFonts w:hint="eastAsia" w:cs="Times New Roman"/>
          <w:b w:val="0"/>
          <w:bCs w:val="0"/>
          <w:color w:val="auto"/>
          <w:highlight w:val="none"/>
          <w:vertAlign w:val="superscript"/>
          <w:lang w:val="en-US" w:eastAsia="zh-CN"/>
        </w:rPr>
        <w:t xml:space="preserve">3</w:t>
      </w:r>
      <w:r>
        <w:rPr>
          <w:rFonts w:hint="eastAsia" w:cs="Times New Roman"/>
          <w:b w:val="0"/>
          <w:bCs w:val="0"/>
          <w:color w:val="auto"/>
          <w:highlight w:val="none"/>
          <w:lang w:val="en-US" w:eastAsia="zh-CN"/>
        </w:rPr>
        <w:t xml:space="preserve"> ，根据客土土源地土壤均质性和污染风险增加采样数量。采用系统布点法设置采样点，制成混合样；采样深度大于取土深度15cm。剥离耕作层的，应表层0-20cm采样1个，20cm以下至取土深度15cm部分采样1个。</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对于每个土壤柱状样，均应记录其土层分层深度、性状、颜色、气味、包含物等基本信息。</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（2、）样品采集及分析测试</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样品采集、保存、流转符合农用地土壤环境相关规范要求。检测指标应包括pH、镉、汞、砷、铅、铬、铜、镍、锌、六六六总量、滴滴涕总量、苯并（a）芘等。若土源为基坑土、盾构土、冲淤土则需加测全氮、全磷、全钾和有机质，若发现其他疑似特征污染物，须一并纳入实验室检测指标。</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检测单位在完成客土检测后，明确检测结论，出具规定格式的检测报告。</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③土源地土壤环境质量评价</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zh-CN" w:eastAsia="zh-CN"/>
        </w:rPr>
      </w:pPr>
      <w:r>
        <w:rPr>
          <w:rFonts w:hint="eastAsia" w:cs="Times New Roman"/>
          <w:b w:val="0"/>
          <w:bCs w:val="0"/>
          <w:color w:val="auto"/>
          <w:highlight w:val="none"/>
          <w:lang w:val="en-US" w:eastAsia="zh-CN"/>
        </w:rPr>
        <w:t xml:space="preserve">按照《土壤环境质量农用地土壤污染风险管控标准（试行）》（GB 15618-2018）和《农用地土壤环境风险评价技术规定（试行）》相关文件要求，进行土壤环境质量评价和土壤环境风险评价；每个项目形成客土调查报告（初稿）。在委托方指导下，召开专家评审会，完善形成客土调查报告。</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4、根据投标人的时间进度进行评审，内容应当包括但不限于以下内容：</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①工作进度计划：根据甲方要求，制定进度计划表，满足工期需求；</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②工期保证措施：</w:t>
      </w:r>
      <w:r>
        <w:rPr>
          <w:highlight w:val="none"/>
          <w:lang w:val="zh-CN"/>
        </w:rPr>
        <w:t xml:space="preserve">为确保按期完成工程施工，从组织、资源调配、综合保障、施工技术和经济等方面制定措施确保总体工期的实现。同时编制施工进度管理程序，随时对进度进行掌控</w:t>
      </w:r>
      <w:r>
        <w:rPr>
          <w:rFonts w:hint="eastAsia"/>
          <w:highlight w:val="none"/>
          <w:lang w:val="zh-CN"/>
        </w:rPr>
        <w:t xml:space="preserve">。</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 xml:space="preserve">5</w:t>
      </w:r>
      <w:r>
        <w:rPr>
          <w:rFonts w:hint="default" w:cs="Times New Roman"/>
          <w:b w:val="0"/>
          <w:bCs w:val="0"/>
          <w:color w:val="auto"/>
          <w:highlight w:val="none"/>
          <w:lang w:val="en-US" w:eastAsia="zh-CN"/>
        </w:rPr>
        <w:t xml:space="preserve">、根据项目需求应制定项目质量保证措施，内容应当包括但不限于以下内</w:t>
      </w:r>
      <w:r/>
    </w:p>
    <w:p>
      <w:pPr>
        <w:pStyle w:val="820"/>
        <w:numPr>
          <w:ilvl w:val="0"/>
          <w:numId w:val="0"/>
        </w:numPr>
        <w:jc w:val="left"/>
        <w:keepLines w:val="0"/>
        <w:keepNext w:val="0"/>
        <w:pageBreakBefore w:val="0"/>
        <w:spacing w:before="0" w:beforeAutospacing="0" w:after="0" w:afterAutospacing="0" w:line="480" w:lineRule="exact"/>
        <w:widowControl w:val="off"/>
        <w:rPr>
          <w:rFonts w:hint="default" w:cs="Times New Roman"/>
          <w:b w:val="0"/>
          <w:bCs w:val="0"/>
          <w:color w:val="auto"/>
          <w:highlight w:val="none"/>
          <w:lang w:val="en-US" w:eastAsia="zh-CN"/>
        </w:rPr>
      </w:pPr>
      <w:r>
        <w:rPr>
          <w:rFonts w:hint="default" w:cs="Times New Roman"/>
          <w:b w:val="0"/>
          <w:bCs w:val="0"/>
          <w:color w:val="auto"/>
          <w:highlight w:val="none"/>
          <w:lang w:val="en-US" w:eastAsia="zh-CN"/>
        </w:rPr>
        <w:t xml:space="preserve">容:</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default"/>
          <w:highlight w:val="none"/>
          <w:lang w:val="en-US" w:eastAsia="zh-CN"/>
        </w:rPr>
      </w:pPr>
      <w:r>
        <w:rPr>
          <w:rFonts w:hint="eastAsia"/>
          <w:highlight w:val="none"/>
          <w:lang w:val="en-US" w:eastAsia="zh-CN"/>
        </w:rPr>
        <w:t xml:space="preserve">①</w:t>
      </w:r>
      <w:r>
        <w:rPr>
          <w:rFonts w:hint="default"/>
          <w:highlight w:val="none"/>
          <w:lang w:val="en-US" w:eastAsia="zh-CN"/>
        </w:rPr>
        <w:t xml:space="preserve">质量保证与质量控制:确保调查结果科学性、准确性和可靠性的根本保障</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default" w:cs="Times New Roman"/>
          <w:b w:val="0"/>
          <w:bCs w:val="0"/>
          <w:color w:val="auto"/>
          <w:highlight w:val="none"/>
          <w:lang w:val="en-US" w:eastAsia="zh-CN"/>
        </w:rPr>
      </w:pPr>
      <w:r>
        <w:rPr>
          <w:rFonts w:hint="eastAsia"/>
          <w:highlight w:val="none"/>
          <w:lang w:val="en-US" w:eastAsia="zh-CN"/>
        </w:rPr>
        <w:t xml:space="preserve">②</w:t>
      </w:r>
      <w:r>
        <w:rPr>
          <w:rFonts w:hint="default"/>
          <w:highlight w:val="none"/>
          <w:lang w:val="en-US" w:eastAsia="zh-CN"/>
        </w:rPr>
        <w:t xml:space="preserve">采样分析计划的质量保障:采样分析计划是调查的基础性文件，其质量直接决定整个调查工作的科学性和可靠性。采样分析计划的质量保障包括</w:t>
      </w:r>
      <w:r>
        <w:rPr>
          <w:rFonts w:hint="default" w:cs="Times New Roman"/>
          <w:b w:val="0"/>
          <w:bCs w:val="0"/>
          <w:color w:val="auto"/>
          <w:highlight w:val="none"/>
          <w:lang w:val="en-US" w:eastAsia="zh-CN"/>
        </w:rPr>
        <w:t xml:space="preserve">方案制定的科学性、内部审核的严谨性和计划报备的及时性三个方面。</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 xml:space="preserve">③</w:t>
      </w:r>
      <w:r>
        <w:rPr>
          <w:rFonts w:hint="default" w:cs="Times New Roman"/>
          <w:b w:val="0"/>
          <w:bCs w:val="0"/>
          <w:color w:val="auto"/>
          <w:highlight w:val="none"/>
          <w:lang w:val="en-US" w:eastAsia="zh-CN"/>
        </w:rPr>
        <w:t xml:space="preserve">现场采样质量控制:现场采样是调查的核心环节，其质量直接决定调查结果的可靠性和代表性。现场采样质量控制包括采样准备、现场操作、样品管理和现场质控四个方面。</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 xml:space="preserve">④</w:t>
      </w:r>
      <w:r>
        <w:rPr>
          <w:rFonts w:hint="default" w:cs="Times New Roman"/>
          <w:b w:val="0"/>
          <w:bCs w:val="0"/>
          <w:color w:val="auto"/>
          <w:highlight w:val="none"/>
          <w:lang w:val="en-US" w:eastAsia="zh-CN"/>
        </w:rPr>
        <w:t xml:space="preserve">实验室分析质里控制:实验室分析是土壤污染状况调查的关键环节，其质里直接影响数据的准确性和可靠性。实验室分析质里控制包括分析方法选择、内部质量控制、外部质里控制和数据审核管理四个方面。</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 xml:space="preserve">⑤</w:t>
      </w:r>
      <w:r>
        <w:rPr>
          <w:rFonts w:hint="default" w:cs="Times New Roman"/>
          <w:b w:val="0"/>
          <w:bCs w:val="0"/>
          <w:color w:val="auto"/>
          <w:highlight w:val="none"/>
          <w:lang w:val="en-US" w:eastAsia="zh-CN"/>
        </w:rPr>
        <w:t xml:space="preserve">进度管理与保障方案:</w:t>
      </w:r>
      <w:r>
        <w:rPr>
          <w:rFonts w:hint="eastAsia" w:cs="Times New Roman"/>
          <w:b w:val="0"/>
          <w:bCs w:val="0"/>
          <w:color w:val="auto"/>
          <w:highlight w:val="none"/>
          <w:lang w:val="en-US" w:eastAsia="zh-CN"/>
        </w:rPr>
        <w:t xml:space="preserve">客土检测</w:t>
      </w:r>
      <w:r>
        <w:rPr>
          <w:rFonts w:hint="default" w:cs="Times New Roman"/>
          <w:b w:val="0"/>
          <w:bCs w:val="0"/>
          <w:color w:val="auto"/>
          <w:highlight w:val="none"/>
          <w:lang w:val="en-US" w:eastAsia="zh-CN"/>
        </w:rPr>
        <w:t xml:space="preserve">调查项目的进度管理和资源保障是确保项目按时保质完成的关键因素。本节系统阐述项目进度计划、资源保障措施、风险评估应对以及资料管理要求，构建全面的保障体系。</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6、根据项目需求应制定售后服务方案，内容应当包括但不限于以下内容:</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①依法规范用工承诺及应对履约期内各类风险承诺：乙方应按招标文件规定的采购要求、质量标准向甲方提供合格服务。</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cs="Times New Roman"/>
          <w:b w:val="0"/>
          <w:bCs w:val="0"/>
          <w:color w:val="auto"/>
          <w:highlight w:val="none"/>
          <w:lang w:val="zh-CN" w:eastAsia="zh-CN"/>
        </w:rPr>
      </w:pPr>
      <w:r>
        <w:rPr>
          <w:rFonts w:hint="eastAsia" w:cs="Times New Roman"/>
          <w:b w:val="0"/>
          <w:bCs w:val="0"/>
          <w:color w:val="auto"/>
          <w:highlight w:val="none"/>
          <w:lang w:val="en-US" w:eastAsia="zh-CN"/>
        </w:rPr>
        <w:t xml:space="preserve">②对于采购人的配合措施；对提交给甲方的产品提供1年免费售后服务，实行跟踪服务并做好后续服务工作。出现问题时，1小时响应，</w:t>
      </w:r>
      <w:r>
        <w:rPr>
          <w:rFonts w:hint="eastAsia" w:cs="Times New Roman"/>
          <w:b w:val="0"/>
          <w:bCs w:val="0"/>
          <w:color w:val="auto"/>
          <w:highlight w:val="none"/>
          <w:lang w:val="zh-CN" w:eastAsia="zh-CN"/>
        </w:rPr>
        <w:t xml:space="preserve">在接到</w:t>
      </w:r>
      <w:r>
        <w:rPr>
          <w:rFonts w:hint="eastAsia" w:cs="Times New Roman"/>
          <w:b w:val="0"/>
          <w:bCs w:val="0"/>
          <w:color w:val="auto"/>
          <w:highlight w:val="none"/>
          <w:lang w:val="en-US" w:eastAsia="zh-CN"/>
        </w:rPr>
        <w:t xml:space="preserve">甲方</w:t>
      </w:r>
      <w:r>
        <w:rPr>
          <w:rFonts w:hint="eastAsia" w:cs="Times New Roman"/>
          <w:b w:val="0"/>
          <w:bCs w:val="0"/>
          <w:color w:val="auto"/>
          <w:highlight w:val="none"/>
          <w:lang w:val="zh-CN" w:eastAsia="zh-CN"/>
        </w:rPr>
        <w:t xml:space="preserve">紧急事件通知后4小时内到达现场解决或提供解决方案。</w:t>
      </w:r>
      <w:r/>
    </w:p>
    <w:p>
      <w:pPr>
        <w:pStyle w:val="820"/>
        <w:numPr>
          <w:ilvl w:val="0"/>
          <w:numId w:val="0"/>
        </w:numPr>
        <w:ind w:firstLine="480"/>
        <w:jc w:val="left"/>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cs="Times New Roman"/>
          <w:b w:val="0"/>
          <w:bCs w:val="0"/>
          <w:color w:val="auto"/>
          <w:highlight w:val="none"/>
          <w:lang w:val="en-US" w:eastAsia="zh-CN"/>
        </w:rPr>
        <w:t xml:space="preserve">7、</w:t>
      </w:r>
      <w:r>
        <w:rPr>
          <w:rFonts w:hint="eastAsia" w:cs="Times New Roman"/>
          <w:b w:val="0"/>
          <w:bCs w:val="0"/>
          <w:color w:val="auto"/>
          <w:highlight w:val="none"/>
          <w:lang w:val="zh-CN" w:eastAsia="zh-CN"/>
        </w:rPr>
        <w:t xml:space="preserve">根据本项目实际情况，提出合理化建议。</w:t>
      </w:r>
      <w:r/>
    </w:p>
    <w:p>
      <w:pPr>
        <w:pStyle w:val="820"/>
        <w:numPr>
          <w:ilvl w:val="0"/>
          <w:numId w:val="0"/>
        </w:num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七</w:t>
      </w:r>
      <w:r>
        <w:rPr>
          <w:rFonts w:hint="eastAsia" w:ascii="宋体" w:hAnsi="宋体" w:eastAsia="宋体" w:cs="宋体"/>
          <w:color w:val="auto"/>
          <w:sz w:val="24"/>
          <w:szCs w:val="24"/>
          <w:highlight w:val="none"/>
          <w:shd w:val="clear" w:color="auto" w:fill="auto"/>
        </w:rPr>
        <w:t xml:space="preserve">、采购标的对应的中小企业划分标准所属行业一览表</w:t>
      </w:r>
      <w:r/>
    </w:p>
    <w:tbl>
      <w:tblPr>
        <w:tblStyle w:val="813"/>
        <w:tblW w:w="4998"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94"/>
        <w:gridCol w:w="4203"/>
        <w:gridCol w:w="364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2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0" w:type="pct"/>
            <w:vAlign w:val="center"/>
            <w:textDirection w:val="lrTb"/>
            <w:noWrap w:val="false"/>
          </w:tcPr>
          <w:p>
            <w:pPr>
              <w:pStyle w:val="82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pStyle w:val="82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2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pct"/>
            <w:vAlign w:val="center"/>
            <w:textDirection w:val="lrTb"/>
            <w:noWrap w:val="false"/>
          </w:tcPr>
          <w:p>
            <w:pPr>
              <w:pStyle w:val="82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highlight w:val="none"/>
                <w:lang w:eastAsia="zh-CN"/>
              </w:rPr>
              <w:t xml:space="preserve">2025年耕地占补平衡项目客土检测</w:t>
            </w:r>
            <w:r>
              <w:rPr>
                <w:rFonts w:hint="eastAsia" w:ascii="宋体" w:hAnsi="宋体" w:eastAsia="宋体" w:cs="宋体"/>
                <w:color w:val="auto"/>
                <w:sz w:val="24"/>
                <w:szCs w:val="24"/>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pStyle w:val="82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color w:val="000000"/>
                <w:highlight w:val="none"/>
              </w:rPr>
              <w:t xml:space="preserve">其他未列明行业</w:t>
            </w:r>
            <w:r>
              <w:rPr>
                <w:rFonts w:hint="eastAsia" w:ascii="宋体" w:hAnsi="宋体" w:eastAsia="宋体" w:cs="宋体"/>
                <w:color w:val="auto"/>
                <w:sz w:val="24"/>
                <w:szCs w:val="24"/>
                <w:highlight w:val="none"/>
                <w:shd w:val="clear" w:color="auto" w:fill="auto"/>
              </w:rPr>
              <w:t xml:space="preserve"> </w:t>
            </w:r>
            <w:r/>
          </w:p>
        </w:tc>
      </w:tr>
    </w:tbl>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jc w:val="center"/>
        <w:rPr>
          <w:color w:val="auto"/>
          <w:highlight w:val="none"/>
        </w:rPr>
      </w:pPr>
      <w:r/>
      <w:bookmarkStart w:id="162"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评审方法与评审标准</w:t>
      </w:r>
      <w:bookmarkEnd w:id="162"/>
      <w:r/>
      <w:r/>
    </w:p>
    <w:p>
      <w:pPr>
        <w:pStyle w:val="820"/>
        <w:jc w:val="both"/>
        <w:spacing w:beforeAutospacing="0" w:afterAutospacing="0"/>
        <w:rPr>
          <w:color w:val="auto"/>
          <w:highlight w:val="none"/>
        </w:rPr>
      </w:pPr>
      <w:r>
        <w:rPr>
          <w:color w:val="auto"/>
          <w:highlight w:val="none"/>
        </w:rPr>
        <w:t xml:space="preserve"> </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pStyle w:val="826"/>
        <w:ind w:firstLine="600"/>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color w:val="auto"/>
          <w:sz w:val="24"/>
          <w:szCs w:val="24"/>
          <w:highlight w:val="none"/>
          <w:shd w:val="clear" w:color="auto" w:fill="auto"/>
          <w:lang w:val="en-US" w:eastAsia="zh-CN" w:bidi="ar-SA"/>
        </w:rPr>
        <w:t xml:space="preserve">第二十一条第三款情形的，可以推荐2家成交候选供应商。评审得分相同的，按照最后报价由低到高的顺序推荐。评审得分且最后报价相同的，按照技术指标优劣顺序推荐。</w:t>
      </w:r>
      <w:r/>
    </w:p>
    <w:p>
      <w:pPr>
        <w:pStyle w:val="820"/>
        <w:ind w:firstLine="44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820"/>
        <w:ind w:left="0" w:right="0" w:firstLine="480"/>
        <w:keepLines w:val="0"/>
        <w:keepNext w:val="0"/>
        <w:spacing w:before="120" w:beforeAutospacing="0" w:after="12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1、小微型企业价格扣除</w:t>
      </w:r>
      <w:r/>
    </w:p>
    <w:p>
      <w:pPr>
        <w:pStyle w:val="820"/>
        <w:ind w:left="0" w:firstLine="360"/>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（1）本项目不专门面向中小企业采购，对符合规定的小型和微型企业报价给予20%的扣除价格，用扣除后的价格参与评审。</w:t>
      </w:r>
      <w:r/>
    </w:p>
    <w:p>
      <w:pPr>
        <w:pStyle w:val="820"/>
        <w:ind w:left="0" w:firstLine="360"/>
        <w:keepLines w:val="0"/>
        <w:keepNext w:val="0"/>
        <w:spacing w:before="120" w:beforeAutospacing="0" w:after="12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（2）供应商需按照采购文件的要求提供相应的《中小企业声明函》。</w:t>
      </w:r>
      <w:r/>
    </w:p>
    <w:p>
      <w:pPr>
        <w:pStyle w:val="820"/>
        <w:ind w:left="0" w:firstLine="360"/>
        <w:keepLines w:val="0"/>
        <w:keepNext w:val="0"/>
        <w:spacing w:before="120" w:beforeAutospacing="0" w:after="12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p>
    <w:p>
      <w:pPr>
        <w:pStyle w:val="820"/>
        <w:ind w:left="0" w:firstLine="480"/>
        <w:keepLines w:val="0"/>
        <w:keepNext w:val="0"/>
        <w:spacing w:before="120" w:beforeAutospacing="0" w:after="12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2、残疾人福利单位价格扣除</w:t>
      </w:r>
      <w:r/>
    </w:p>
    <w:p>
      <w:pPr>
        <w:pStyle w:val="820"/>
        <w:ind w:left="120" w:firstLine="360"/>
        <w:keepLines w:val="0"/>
        <w:keepNext w:val="0"/>
        <w:spacing w:before="120" w:beforeAutospacing="0" w:after="12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p>
    <w:p>
      <w:pPr>
        <w:pStyle w:val="820"/>
        <w:ind w:left="120" w:firstLine="360"/>
        <w:keepLines w:val="0"/>
        <w:keepNext w:val="0"/>
        <w:spacing w:before="120" w:beforeAutospacing="0" w:after="12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820"/>
        <w:ind w:left="120" w:firstLine="360"/>
        <w:keepLines w:val="0"/>
        <w:keepNext w:val="0"/>
        <w:spacing w:before="120" w:beforeAutospacing="0" w:after="12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820"/>
        <w:ind w:left="0" w:firstLine="480"/>
        <w:keepLines w:val="0"/>
        <w:keepNext w:val="0"/>
        <w:spacing w:before="120" w:beforeAutospacing="0" w:after="12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3、监狱和戒毒企业价格扣除</w:t>
      </w:r>
      <w:r/>
    </w:p>
    <w:p>
      <w:pPr>
        <w:pStyle w:val="820"/>
        <w:ind w:left="0" w:firstLine="480"/>
        <w:keepLines w:val="0"/>
        <w:keepNext w:val="0"/>
        <w:spacing w:before="120" w:beforeAutospacing="0" w:after="12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p>
    <w:p>
      <w:pPr>
        <w:pStyle w:val="820"/>
        <w:ind w:left="0" w:firstLine="480"/>
        <w:keepLines w:val="0"/>
        <w:keepNext w:val="0"/>
        <w:spacing w:before="120" w:beforeAutospacing="0" w:after="12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0"/>
        <w:ind w:left="0" w:firstLine="480"/>
        <w:keepLines w:val="0"/>
        <w:keepNext w:val="0"/>
        <w:spacing w:before="120" w:beforeAutospacing="0" w:after="12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p>
    <w:p>
      <w:pPr>
        <w:pStyle w:val="820"/>
        <w:ind w:left="0" w:firstLine="480"/>
        <w:keepLines w:val="0"/>
        <w:keepNext w:val="0"/>
        <w:spacing w:before="120" w:beforeAutospacing="0" w:after="12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820"/>
        <w:ind w:left="0" w:firstLine="480"/>
        <w:keepLines w:val="0"/>
        <w:keepNext w:val="0"/>
        <w:spacing w:before="120" w:beforeAutospacing="0" w:after="12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auto"/>
          <w:sz w:val="24"/>
          <w:szCs w:val="24"/>
          <w:highlight w:val="none"/>
        </w:rPr>
        <w:t xml:space="preserve">。</w:t>
      </w:r>
      <w:r/>
    </w:p>
    <w:tbl>
      <w:tblPr>
        <w:tblStyle w:val="813"/>
        <w:tblpPr w:horzAnchor="page" w:tblpX="1347" w:vertAnchor="text" w:tblpY="429" w:leftFromText="180" w:topFromText="0" w:rightFromText="180" w:bottomFromText="0"/>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080"/>
        <w:gridCol w:w="1080"/>
        <w:gridCol w:w="6220"/>
      </w:tblGrid>
      <w:tr>
        <w:trPr>
          <w:trHeight w:val="270"/>
        </w:trPr>
        <w:tc>
          <w:tcPr>
            <w:shd w:val="clear" w:color="auto" w:fill="auto"/>
            <w:tcW w:w="1080" w:type="dxa"/>
            <w:vAlign w:val="center"/>
            <w:textDirection w:val="lrTb"/>
            <w:noWrap w:val="false"/>
          </w:tcPr>
          <w:p>
            <w:pPr>
              <w:jc w:val="center"/>
              <w:widowControl/>
              <w:rPr>
                <w:rFonts w:ascii="宋体" w:hAnsi="宋体" w:eastAsia="宋体" w:cs="宋体"/>
                <w:b/>
                <w:bCs/>
                <w:sz w:val="20"/>
                <w:szCs w:val="20"/>
                <w:highlight w:val="none"/>
                <w14:ligatures w14:val="none"/>
              </w:rPr>
            </w:pPr>
            <w:r>
              <w:rPr>
                <w:rFonts w:hint="eastAsia" w:ascii="宋体" w:hAnsi="宋体" w:eastAsia="宋体" w:cs="宋体"/>
                <w:b/>
                <w:bCs/>
                <w:sz w:val="20"/>
                <w:szCs w:val="20"/>
                <w:highlight w:val="none"/>
                <w14:ligatures w14:val="none"/>
              </w:rPr>
              <w:t xml:space="preserve">序号</w:t>
            </w:r>
            <w:r/>
          </w:p>
        </w:tc>
        <w:tc>
          <w:tcPr>
            <w:shd w:val="clear" w:color="auto" w:fill="auto"/>
            <w:tcW w:w="1080" w:type="dxa"/>
            <w:vAlign w:val="center"/>
            <w:textDirection w:val="lrTb"/>
            <w:noWrap w:val="false"/>
          </w:tcPr>
          <w:p>
            <w:pPr>
              <w:jc w:val="center"/>
              <w:widowControl/>
              <w:rPr>
                <w:rFonts w:ascii="宋体" w:hAnsi="宋体" w:eastAsia="宋体" w:cs="宋体"/>
                <w:b/>
                <w:bCs/>
                <w:sz w:val="20"/>
                <w:szCs w:val="20"/>
                <w:highlight w:val="none"/>
                <w14:ligatures w14:val="none"/>
              </w:rPr>
            </w:pPr>
            <w:r>
              <w:rPr>
                <w:rFonts w:hint="eastAsia" w:ascii="宋体" w:hAnsi="宋体" w:eastAsia="宋体" w:cs="宋体"/>
                <w:b/>
                <w:bCs/>
                <w:sz w:val="20"/>
                <w:szCs w:val="20"/>
                <w:highlight w:val="none"/>
                <w14:ligatures w14:val="none"/>
              </w:rPr>
              <w:t xml:space="preserve">评分因素</w:t>
            </w:r>
            <w:r/>
          </w:p>
        </w:tc>
        <w:tc>
          <w:tcPr>
            <w:shd w:val="clear" w:color="auto" w:fill="auto"/>
            <w:tcW w:w="1080" w:type="dxa"/>
            <w:vAlign w:val="center"/>
            <w:textDirection w:val="lrTb"/>
            <w:noWrap w:val="false"/>
          </w:tcPr>
          <w:p>
            <w:pPr>
              <w:jc w:val="center"/>
              <w:widowControl/>
              <w:rPr>
                <w:rFonts w:ascii="宋体" w:hAnsi="宋体" w:eastAsia="宋体" w:cs="宋体"/>
                <w:b/>
                <w:bCs/>
                <w:sz w:val="20"/>
                <w:szCs w:val="20"/>
                <w:highlight w:val="none"/>
                <w14:ligatures w14:val="none"/>
              </w:rPr>
            </w:pPr>
            <w:r>
              <w:rPr>
                <w:rFonts w:hint="eastAsia" w:ascii="宋体" w:hAnsi="宋体" w:eastAsia="宋体" w:cs="宋体"/>
                <w:b/>
                <w:bCs/>
                <w:sz w:val="20"/>
                <w:szCs w:val="20"/>
                <w:highlight w:val="none"/>
                <w14:ligatures w14:val="none"/>
              </w:rPr>
              <w:t xml:space="preserve">分值</w:t>
            </w:r>
            <w:r/>
          </w:p>
        </w:tc>
        <w:tc>
          <w:tcPr>
            <w:shd w:val="clear" w:color="auto" w:fill="auto"/>
            <w:tcW w:w="6220" w:type="dxa"/>
            <w:vAlign w:val="center"/>
            <w:textDirection w:val="lrTb"/>
            <w:noWrap w:val="false"/>
          </w:tcPr>
          <w:p>
            <w:pPr>
              <w:jc w:val="center"/>
              <w:widowControl/>
              <w:rPr>
                <w:rFonts w:ascii="宋体" w:hAnsi="宋体" w:eastAsia="宋体" w:cs="宋体"/>
                <w:b/>
                <w:bCs/>
                <w:sz w:val="20"/>
                <w:szCs w:val="20"/>
                <w:highlight w:val="none"/>
                <w14:ligatures w14:val="none"/>
              </w:rPr>
            </w:pPr>
            <w:r>
              <w:rPr>
                <w:rFonts w:hint="eastAsia" w:ascii="宋体" w:hAnsi="宋体" w:eastAsia="宋体" w:cs="宋体"/>
                <w:b/>
                <w:bCs/>
                <w:sz w:val="20"/>
                <w:szCs w:val="20"/>
                <w:highlight w:val="none"/>
                <w14:ligatures w14:val="none"/>
              </w:rPr>
              <w:t xml:space="preserve">评审标准</w:t>
            </w:r>
            <w:r/>
          </w:p>
        </w:tc>
      </w:tr>
      <w:tr>
        <w:trPr>
          <w:trHeight w:val="735"/>
        </w:trPr>
        <w:tc>
          <w:tcPr>
            <w:shd w:val="clear" w:color="auto" w:fill="auto"/>
            <w:tcW w:w="1080" w:type="dxa"/>
            <w:vAlign w:val="center"/>
            <w:textDirection w:val="lrTb"/>
            <w:noWrap w:val="false"/>
          </w:tcPr>
          <w:p>
            <w:pPr>
              <w:jc w:val="center"/>
              <w:widowControl/>
              <w:rPr>
                <w:rFonts w:ascii="Times New Roman" w:hAnsi="Times New Roman" w:eastAsia="宋体" w:cs="Times New Roman"/>
                <w:sz w:val="20"/>
                <w:szCs w:val="20"/>
                <w:highlight w:val="none"/>
                <w14:ligatures w14:val="none"/>
              </w:rPr>
            </w:pPr>
            <w:r>
              <w:rPr>
                <w:rFonts w:ascii="Times New Roman" w:hAnsi="Times New Roman" w:eastAsia="宋体" w:cs="Times New Roman"/>
                <w:sz w:val="20"/>
                <w:szCs w:val="20"/>
                <w:highlight w:val="none"/>
                <w14:ligatures w14:val="none"/>
              </w:rPr>
              <w:t xml:space="preserve">1</w:t>
            </w:r>
            <w:r/>
          </w:p>
        </w:tc>
        <w:tc>
          <w:tcPr>
            <w:shd w:val="clear" w:color="auto" w:fill="auto"/>
            <w:tcW w:w="1080" w:type="dxa"/>
            <w:vAlign w:val="center"/>
            <w:textDirection w:val="lrTb"/>
            <w:noWrap w:val="false"/>
          </w:tcPr>
          <w:p>
            <w:pPr>
              <w:jc w:val="cente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t xml:space="preserve">价格</w:t>
            </w:r>
            <w:r/>
          </w:p>
          <w:p>
            <w:pPr>
              <w:jc w:val="center"/>
              <w:widowControl/>
              <w:rPr>
                <w:rFonts w:hint="eastAsia" w:ascii="宋体" w:hAnsi="宋体" w:eastAsia="宋体" w:cs="宋体"/>
                <w:sz w:val="20"/>
                <w:szCs w:val="20"/>
                <w:highlight w:val="none"/>
                <w:lang w:eastAsia="zh-CN"/>
                <w14:ligatures w14:val="none"/>
              </w:rPr>
            </w:pPr>
            <w:r>
              <w:rPr>
                <w:rFonts w:hint="eastAsia" w:ascii="宋体" w:hAnsi="宋体" w:eastAsia="宋体" w:cs="宋体"/>
                <w:sz w:val="20"/>
                <w:szCs w:val="20"/>
                <w:highlight w:val="none"/>
                <w:lang w:eastAsia="zh-CN"/>
                <w14:ligatures w14:val="none"/>
              </w:rPr>
              <w:t xml:space="preserve">（</w:t>
            </w:r>
            <w:r>
              <w:rPr>
                <w:rFonts w:hint="eastAsia" w:ascii="Times New Roman" w:hAnsi="Times New Roman" w:eastAsia="宋体" w:cs="Times New Roman"/>
                <w:sz w:val="20"/>
                <w:szCs w:val="20"/>
                <w:highlight w:val="none"/>
                <w:lang w:val="en-US" w:eastAsia="zh-CN"/>
                <w14:ligatures w14:val="none"/>
              </w:rPr>
              <w:t xml:space="preserve">2</w:t>
            </w:r>
            <w:r>
              <w:rPr>
                <w:rFonts w:ascii="Times New Roman" w:hAnsi="Times New Roman" w:eastAsia="宋体" w:cs="Times New Roman"/>
                <w:sz w:val="20"/>
                <w:szCs w:val="20"/>
                <w:highlight w:val="none"/>
                <w14:ligatures w14:val="none"/>
              </w:rPr>
              <w:t xml:space="preserve">0</w:t>
            </w:r>
            <w:r>
              <w:rPr>
                <w:rFonts w:hint="eastAsia" w:ascii="Times New Roman" w:hAnsi="Times New Roman" w:eastAsia="宋体" w:cs="Times New Roman"/>
                <w:sz w:val="20"/>
                <w:szCs w:val="20"/>
                <w:highlight w:val="none"/>
                <w:lang w:val="en-US" w:eastAsia="zh-CN"/>
                <w14:ligatures w14:val="none"/>
              </w:rPr>
              <w:t xml:space="preserve">分</w:t>
            </w:r>
            <w:r>
              <w:rPr>
                <w:rFonts w:hint="eastAsia" w:ascii="宋体" w:hAnsi="宋体" w:eastAsia="宋体" w:cs="宋体"/>
                <w:sz w:val="20"/>
                <w:szCs w:val="20"/>
                <w:highlight w:val="none"/>
                <w:lang w:eastAsia="zh-CN"/>
                <w14:ligatures w14:val="none"/>
              </w:rPr>
              <w:t xml:space="preserve">）</w:t>
            </w:r>
            <w:r/>
          </w:p>
        </w:tc>
        <w:tc>
          <w:tcPr>
            <w:shd w:val="clear" w:color="auto" w:fill="auto"/>
            <w:tcW w:w="1080" w:type="dxa"/>
            <w:vAlign w:val="center"/>
            <w:textDirection w:val="lrTb"/>
            <w:noWrap w:val="false"/>
          </w:tcPr>
          <w:p>
            <w:pPr>
              <w:jc w:val="center"/>
              <w:widowControl/>
              <w:rPr>
                <w:rFonts w:ascii="Times New Roman" w:hAnsi="Times New Roman" w:eastAsia="宋体" w:cs="Times New Roman"/>
                <w:sz w:val="20"/>
                <w:szCs w:val="20"/>
                <w:highlight w:val="none"/>
                <w14:ligatures w14:val="none"/>
              </w:rPr>
            </w:pPr>
            <w:r>
              <w:rPr>
                <w:rFonts w:hint="eastAsia" w:ascii="Times New Roman" w:hAnsi="Times New Roman" w:eastAsia="宋体" w:cs="Times New Roman"/>
                <w:sz w:val="20"/>
                <w:szCs w:val="20"/>
                <w:highlight w:val="none"/>
                <w:lang w:val="en-US" w:eastAsia="zh-CN"/>
                <w14:ligatures w14:val="none"/>
              </w:rPr>
              <w:t xml:space="preserve">价格分（2</w:t>
            </w:r>
            <w:r>
              <w:rPr>
                <w:rFonts w:ascii="Times New Roman" w:hAnsi="Times New Roman" w:eastAsia="宋体" w:cs="Times New Roman"/>
                <w:sz w:val="20"/>
                <w:szCs w:val="20"/>
                <w:highlight w:val="none"/>
                <w14:ligatures w14:val="none"/>
              </w:rPr>
              <w:t xml:space="preserve">0</w:t>
            </w:r>
            <w:r>
              <w:rPr>
                <w:rFonts w:hint="eastAsia" w:ascii="Times New Roman" w:hAnsi="Times New Roman" w:eastAsia="宋体" w:cs="Times New Roman"/>
                <w:sz w:val="20"/>
                <w:szCs w:val="20"/>
                <w:highlight w:val="none"/>
                <w:lang w:val="en-US" w:eastAsia="zh-CN"/>
                <w14:ligatures w14:val="none"/>
              </w:rPr>
              <w:t xml:space="preserve">分）</w:t>
            </w:r>
            <w:r/>
          </w:p>
        </w:tc>
        <w:tc>
          <w:tcPr>
            <w:shd w:val="clear" w:color="auto" w:fill="auto"/>
            <w:tcBorders>
              <w:bottom w:val="single" w:color="auto" w:sz="4" w:space="0"/>
            </w:tcBorders>
            <w:tcW w:w="6220" w:type="dxa"/>
            <w:vAlign w:val="center"/>
            <w:textDirection w:val="lrTb"/>
            <w:noWrap w:val="false"/>
          </w:tcPr>
          <w:p>
            <w:pPr>
              <w:jc w:val="left"/>
              <w:widowControl/>
              <w:rPr>
                <w:rFonts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t xml:space="preserve">采用低价优先法计算，即满足招标文件要求且投标价格最低的投标报价为评标基准价，其价格分为满分。其他投标人的价格分按照下列公式计算：投标报价得分</w:t>
            </w:r>
            <w:r>
              <w:rPr>
                <w:rFonts w:ascii="Times New Roman" w:hAnsi="Times New Roman" w:eastAsia="宋体" w:cs="Times New Roman"/>
                <w:sz w:val="20"/>
                <w:szCs w:val="20"/>
                <w:highlight w:val="none"/>
                <w14:ligatures w14:val="none"/>
              </w:rPr>
              <w:t xml:space="preserve">=</w:t>
            </w:r>
            <w:r>
              <w:rPr>
                <w:rFonts w:hint="eastAsia" w:ascii="宋体" w:hAnsi="宋体" w:eastAsia="宋体" w:cs="宋体"/>
                <w:sz w:val="20"/>
                <w:szCs w:val="20"/>
                <w:highlight w:val="none"/>
                <w14:ligatures w14:val="none"/>
              </w:rPr>
              <w:t xml:space="preserve">（评标基准价／投标报价）×</w:t>
            </w:r>
            <w:r>
              <w:rPr>
                <w:rFonts w:hint="eastAsia" w:ascii="Times New Roman" w:hAnsi="Times New Roman" w:eastAsia="宋体" w:cs="Times New Roman"/>
                <w:sz w:val="20"/>
                <w:szCs w:val="20"/>
                <w:highlight w:val="none"/>
                <w:lang w:val="en-US" w:eastAsia="zh-CN"/>
                <w14:ligatures w14:val="none"/>
              </w:rPr>
              <w:t xml:space="preserve">2</w:t>
            </w:r>
            <w:r>
              <w:rPr>
                <w:rFonts w:ascii="Times New Roman" w:hAnsi="Times New Roman" w:eastAsia="宋体" w:cs="Times New Roman"/>
                <w:sz w:val="20"/>
                <w:szCs w:val="20"/>
                <w:highlight w:val="none"/>
                <w14:ligatures w14:val="none"/>
              </w:rPr>
              <w:t xml:space="preserve">0</w:t>
            </w:r>
            <w:r>
              <w:rPr>
                <w:rFonts w:hint="eastAsia" w:ascii="宋体" w:hAnsi="宋体" w:eastAsia="宋体" w:cs="宋体"/>
                <w:sz w:val="20"/>
                <w:szCs w:val="20"/>
                <w:highlight w:val="none"/>
                <w14:ligatures w14:val="none"/>
              </w:rPr>
              <w:t xml:space="preserve">（保留两位小数）。</w:t>
            </w:r>
            <w:r/>
          </w:p>
        </w:tc>
      </w:tr>
      <w:tr>
        <w:trPr>
          <w:trHeight w:val="936"/>
        </w:trPr>
        <w:tc>
          <w:tcPr>
            <w:shd w:val="clear" w:color="auto" w:fill="auto"/>
            <w:tcW w:w="1080" w:type="dxa"/>
            <w:vAlign w:val="center"/>
            <w:vMerge w:val="restart"/>
            <w:textDirection w:val="lrTb"/>
            <w:noWrap w:val="false"/>
          </w:tcPr>
          <w:p>
            <w:pPr>
              <w:jc w:val="center"/>
              <w:widowControl/>
              <w:rPr>
                <w:rFonts w:ascii="Times New Roman" w:hAnsi="Times New Roman" w:eastAsia="宋体" w:cs="Times New Roman"/>
                <w:sz w:val="20"/>
                <w:szCs w:val="20"/>
                <w:highlight w:val="none"/>
                <w14:ligatures w14:val="none"/>
              </w:rPr>
            </w:pPr>
            <w:r>
              <w:rPr>
                <w:rFonts w:ascii="Times New Roman" w:hAnsi="Times New Roman" w:eastAsia="宋体" w:cs="Times New Roman"/>
                <w:sz w:val="20"/>
                <w:szCs w:val="20"/>
                <w:highlight w:val="none"/>
                <w14:ligatures w14:val="none"/>
              </w:rPr>
              <w:t xml:space="preserve">2</w:t>
            </w:r>
            <w:r/>
          </w:p>
        </w:tc>
        <w:tc>
          <w:tcPr>
            <w:shd w:val="clear" w:color="auto" w:fill="auto"/>
            <w:tcW w:w="1080" w:type="dxa"/>
            <w:vAlign w:val="center"/>
            <w:vMerge w:val="restart"/>
            <w:textDirection w:val="lrTb"/>
            <w:noWrap w:val="false"/>
          </w:tcPr>
          <w:p>
            <w:pPr>
              <w:jc w:val="center"/>
              <w:widowControl/>
              <w:rPr>
                <w:rFonts w:hint="eastAsia" w:ascii="宋体" w:hAnsi="宋体" w:eastAsia="宋体" w:cs="宋体"/>
                <w:sz w:val="20"/>
                <w:szCs w:val="20"/>
                <w:highlight w:val="none"/>
                <w:lang w:eastAsia="zh-CN"/>
                <w14:ligatures w14:val="none"/>
              </w:rPr>
            </w:pPr>
            <w:r>
              <w:rPr>
                <w:rFonts w:hint="eastAsia" w:ascii="宋体" w:hAnsi="宋体" w:eastAsia="宋体" w:cs="宋体"/>
                <w:sz w:val="20"/>
                <w:szCs w:val="20"/>
                <w:highlight w:val="none"/>
                <w:lang w:eastAsia="zh-CN"/>
                <w14:ligatures w14:val="none"/>
              </w:rPr>
              <w:t xml:space="preserve">投标人综合评价（</w:t>
            </w:r>
            <w:r>
              <w:rPr>
                <w:rFonts w:hint="eastAsia" w:ascii="宋体" w:hAnsi="宋体" w:eastAsia="宋体" w:cs="宋体"/>
                <w:sz w:val="20"/>
                <w:szCs w:val="20"/>
                <w:highlight w:val="none"/>
                <w:lang w:val="en-US" w:eastAsia="zh-CN"/>
                <w14:ligatures w14:val="none"/>
              </w:rPr>
              <w:t xml:space="preserve">30分</w:t>
            </w:r>
            <w:r>
              <w:rPr>
                <w:rFonts w:hint="eastAsia" w:ascii="宋体" w:hAnsi="宋体" w:eastAsia="宋体" w:cs="宋体"/>
                <w:sz w:val="20"/>
                <w:szCs w:val="20"/>
                <w:highlight w:val="none"/>
                <w:lang w:eastAsia="zh-CN"/>
                <w14:ligatures w14:val="none"/>
              </w:rPr>
              <w:t xml:space="preserve">）</w:t>
            </w:r>
            <w:r/>
          </w:p>
        </w:tc>
        <w:tc>
          <w:tcPr>
            <w:shd w:val="clear" w:color="auto" w:fill="auto"/>
            <w:tcBorders>
              <w:right w:val="single" w:color="auto" w:sz="4" w:space="0"/>
            </w:tcBorders>
            <w:tcW w:w="1080" w:type="dxa"/>
            <w:vAlign w:val="center"/>
            <w:vMerge w:val="restart"/>
            <w:textDirection w:val="lrTb"/>
            <w:noWrap w:val="false"/>
          </w:tcPr>
          <w:p>
            <w:pPr>
              <w:jc w:val="center"/>
              <w:widowControl/>
              <w:rPr>
                <w:rFonts w:hint="default" w:ascii="Times New Roman" w:hAnsi="Times New Roman" w:eastAsia="宋体" w:cs="Times New Roman"/>
                <w:sz w:val="20"/>
                <w:szCs w:val="20"/>
                <w:highlight w:val="none"/>
                <w:lang w:val="en-US" w:eastAsia="zh-CN"/>
                <w14:ligatures w14:val="none"/>
              </w:rPr>
            </w:pPr>
            <w:r>
              <w:rPr>
                <w:rFonts w:hint="eastAsia" w:ascii="Times New Roman" w:hAnsi="Times New Roman" w:eastAsia="宋体" w:cs="Times New Roman"/>
                <w:sz w:val="20"/>
                <w:szCs w:val="20"/>
                <w:highlight w:val="none"/>
                <w:lang w:val="en-US" w:eastAsia="zh-CN"/>
                <w14:ligatures w14:val="none"/>
              </w:rPr>
              <w:t xml:space="preserve">企业实力（12）</w:t>
            </w:r>
            <w:r/>
          </w:p>
        </w:tc>
        <w:tc>
          <w:tcPr>
            <w:shd w:val="clear" w:color="auto" w:fill="auto"/>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lang w:val="en-US" w:eastAsia="zh-CN"/>
                <w14:ligatures w14:val="none"/>
              </w:rPr>
              <w:t xml:space="preserve">1</w:t>
            </w:r>
            <w:r>
              <w:rPr>
                <w:rFonts w:hint="eastAsia" w:ascii="宋体" w:hAnsi="宋体" w:eastAsia="宋体" w:cs="宋体"/>
                <w:sz w:val="20"/>
                <w:szCs w:val="20"/>
                <w:highlight w:val="none"/>
                <w14:ligatures w14:val="none"/>
              </w:rPr>
              <w:t xml:space="preserve">、供应商具有有效的质量管理体系认证证书、环境管理体系认证证书、职业健康安全管理体系认证证书、信息技术服务管理体系认证证书的，每提供1个得</w:t>
            </w:r>
            <w:r>
              <w:rPr>
                <w:rFonts w:hint="eastAsia" w:ascii="宋体" w:hAnsi="宋体" w:eastAsia="宋体" w:cs="宋体"/>
                <w:sz w:val="20"/>
                <w:szCs w:val="20"/>
                <w:highlight w:val="none"/>
                <w:lang w:val="en-US" w:eastAsia="zh-CN"/>
                <w14:ligatures w14:val="none"/>
              </w:rPr>
              <w:t xml:space="preserve">2</w:t>
            </w:r>
            <w:r>
              <w:rPr>
                <w:rFonts w:hint="eastAsia" w:ascii="宋体" w:hAnsi="宋体" w:eastAsia="宋体" w:cs="宋体"/>
                <w:sz w:val="20"/>
                <w:szCs w:val="20"/>
                <w:highlight w:val="none"/>
                <w14:ligatures w14:val="none"/>
              </w:rPr>
              <w:t xml:space="preserve">分，最高得</w:t>
            </w:r>
            <w:r>
              <w:rPr>
                <w:rFonts w:hint="eastAsia" w:ascii="宋体" w:hAnsi="宋体" w:eastAsia="宋体" w:cs="宋体"/>
                <w:sz w:val="20"/>
                <w:szCs w:val="20"/>
                <w:highlight w:val="none"/>
                <w:lang w:val="en-US" w:eastAsia="zh-CN"/>
                <w14:ligatures w14:val="none"/>
              </w:rPr>
              <w:t xml:space="preserve">8</w:t>
            </w:r>
            <w:r>
              <w:rPr>
                <w:rFonts w:hint="eastAsia" w:ascii="宋体" w:hAnsi="宋体" w:eastAsia="宋体" w:cs="宋体"/>
                <w:sz w:val="20"/>
                <w:szCs w:val="20"/>
                <w:highlight w:val="none"/>
                <w14:ligatures w14:val="none"/>
              </w:rPr>
              <w:t xml:space="preserve">分（</w:t>
            </w:r>
            <w:r>
              <w:rPr>
                <w:rFonts w:hint="eastAsia" w:ascii="宋体" w:hAnsi="宋体" w:eastAsia="宋体" w:cs="宋体"/>
                <w:sz w:val="21"/>
                <w:szCs w:val="21"/>
                <w:highlight w:val="none"/>
              </w:rPr>
              <w:t xml:space="preserve">提供有效期内的相应证书原件扫描件或国家认证认可监督</w:t>
            </w:r>
            <w:r>
              <w:rPr>
                <w:rFonts w:hint="eastAsia" w:ascii="宋体" w:hAnsi="宋体" w:eastAsia="宋体" w:cs="宋体"/>
                <w:sz w:val="21"/>
                <w:szCs w:val="21"/>
                <w:highlight w:val="none"/>
                <w:lang w:val="en-US" w:eastAsia="zh-CN"/>
              </w:rPr>
              <w:t xml:space="preserve">管理</w:t>
            </w:r>
            <w:r>
              <w:rPr>
                <w:rFonts w:hint="eastAsia" w:ascii="宋体" w:hAnsi="宋体" w:eastAsia="宋体" w:cs="宋体"/>
                <w:sz w:val="21"/>
                <w:szCs w:val="21"/>
                <w:highlight w:val="none"/>
              </w:rPr>
              <w:t xml:space="preserve">委员</w:t>
            </w:r>
            <w:bookmarkStart w:id="186" w:name="_GoBack"/>
            <w:r/>
            <w:bookmarkEnd w:id="186"/>
            <w:r>
              <w:rPr>
                <w:rFonts w:hint="eastAsia" w:ascii="宋体" w:hAnsi="宋体" w:eastAsia="宋体" w:cs="宋体"/>
                <w:sz w:val="21"/>
                <w:szCs w:val="21"/>
                <w:highlight w:val="none"/>
              </w:rPr>
              <w:t xml:space="preserve">会网站查询截图加盖CA电子签章</w:t>
            </w:r>
            <w:r>
              <w:rPr>
                <w:rFonts w:hint="eastAsia" w:ascii="宋体" w:hAnsi="宋体" w:eastAsia="宋体" w:cs="宋体"/>
                <w:sz w:val="20"/>
                <w:szCs w:val="20"/>
                <w:highlight w:val="none"/>
                <w14:ligatures w14:val="none"/>
              </w:rPr>
              <w:t xml:space="preserve">）。</w:t>
            </w:r>
            <w:r/>
          </w:p>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lang w:val="en-US" w:eastAsia="zh-CN"/>
                <w14:ligatures w14:val="none"/>
              </w:rPr>
              <w:t xml:space="preserve">2</w:t>
            </w:r>
            <w:r>
              <w:rPr>
                <w:rFonts w:hint="eastAsia" w:ascii="宋体" w:hAnsi="宋体" w:eastAsia="宋体" w:cs="宋体"/>
                <w:sz w:val="20"/>
                <w:szCs w:val="20"/>
                <w:highlight w:val="none"/>
                <w14:ligatures w14:val="none"/>
              </w:rPr>
              <w:t xml:space="preserve">、供应商获得过区（县）级及以上行政部门颁发的相关荣誉的，每有一个得2分，最高得4分。（提供相关证明扫描件</w:t>
            </w:r>
            <w:r>
              <w:rPr>
                <w:rFonts w:hint="eastAsia" w:ascii="宋体" w:hAnsi="宋体" w:eastAsia="宋体" w:cs="宋体"/>
                <w:sz w:val="20"/>
                <w:szCs w:val="20"/>
                <w:highlight w:val="none"/>
                <w:lang w:val="en-US" w:eastAsia="zh-CN"/>
                <w14:ligatures w14:val="none"/>
              </w:rPr>
              <w:t xml:space="preserve">并</w:t>
            </w:r>
            <w:r>
              <w:rPr>
                <w:rFonts w:hint="eastAsia" w:ascii="宋体" w:hAnsi="宋体" w:eastAsia="宋体" w:cs="宋体"/>
                <w:sz w:val="20"/>
                <w:szCs w:val="20"/>
                <w:highlight w:val="none"/>
                <w14:ligatures w14:val="none"/>
              </w:rPr>
              <w:t xml:space="preserve">加盖公章）</w:t>
            </w:r>
            <w:r/>
          </w:p>
        </w:tc>
      </w:tr>
      <w:tr>
        <w:trPr>
          <w:trHeight w:val="4116"/>
        </w:trPr>
        <w:tc>
          <w:tcPr>
            <w:tcW w:w="1080" w:type="dxa"/>
            <w:vAlign w:val="center"/>
            <w:vMerge w:val="continue"/>
            <w:textDirection w:val="lrTb"/>
            <w:noWrap w:val="false"/>
          </w:tcPr>
          <w:p>
            <w:pPr>
              <w:jc w:val="center"/>
              <w:widowControl/>
              <w:rPr>
                <w:rFonts w:ascii="Times New Roman" w:hAnsi="Times New Roman" w:eastAsia="宋体" w:cs="Times New Roman"/>
                <w:sz w:val="20"/>
                <w:szCs w:val="20"/>
                <w:highlight w:val="none"/>
                <w14:ligatures w14:val="none"/>
              </w:rPr>
            </w:pPr>
            <w:r>
              <w:rPr>
                <w:rFonts w:ascii="Times New Roman" w:hAnsi="Times New Roman" w:eastAsia="宋体" w:cs="Times New Roman"/>
                <w:sz w:val="20"/>
                <w:szCs w:val="20"/>
                <w:highlight w:val="none"/>
                <w14:ligatures w14:val="none"/>
              </w:rPr>
            </w:r>
            <w:r/>
          </w:p>
        </w:tc>
        <w:tc>
          <w:tcPr>
            <w:tcW w:w="1080" w:type="dxa"/>
            <w:vAlign w:val="center"/>
            <w:vMerge w:val="continue"/>
            <w:textDirection w:val="lrTb"/>
            <w:noWrap w:val="false"/>
          </w:tcPr>
          <w:p>
            <w:pPr>
              <w:jc w:val="center"/>
              <w:widowControl/>
              <w:rPr>
                <w:rFonts w:ascii="宋体" w:hAnsi="宋体" w:eastAsia="宋体" w:cs="宋体"/>
                <w:sz w:val="20"/>
                <w:szCs w:val="20"/>
                <w:highlight w:val="none"/>
                <w14:ligatures w14:val="none"/>
              </w:rPr>
            </w:pPr>
            <w:r>
              <w:rPr>
                <w:rFonts w:ascii="宋体" w:hAnsi="宋体" w:eastAsia="宋体" w:cs="宋体"/>
                <w:sz w:val="20"/>
                <w:szCs w:val="20"/>
                <w:highlight w:val="none"/>
                <w14:ligatures w14:val="none"/>
              </w:rPr>
            </w:r>
            <w:r/>
          </w:p>
        </w:tc>
        <w:tc>
          <w:tcPr>
            <w:shd w:val="clear" w:color="auto" w:fill="auto"/>
            <w:tcBorders>
              <w:right w:val="single" w:color="auto" w:sz="4" w:space="0"/>
            </w:tcBorders>
            <w:tcW w:w="1080" w:type="dxa"/>
            <w:vAlign w:val="center"/>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t xml:space="preserve">拟投入服务团队人员（18分）</w:t>
            </w:r>
            <w:r/>
          </w:p>
          <w:p>
            <w:pPr>
              <w:jc w:val="center"/>
              <w:widowControl/>
              <w:rPr>
                <w:rFonts w:ascii="Times New Roman" w:hAnsi="Times New Roman" w:eastAsia="宋体" w:cs="Times New Roman"/>
                <w:sz w:val="20"/>
                <w:szCs w:val="20"/>
                <w:highlight w:val="none"/>
                <w14:ligatures w14:val="none"/>
              </w:rPr>
            </w:pPr>
            <w:r>
              <w:rPr>
                <w:rFonts w:ascii="Times New Roman" w:hAnsi="Times New Roman" w:eastAsia="宋体" w:cs="Times New Roman"/>
                <w:sz w:val="20"/>
                <w:szCs w:val="20"/>
                <w:highlight w:val="none"/>
                <w14:ligatures w14:val="none"/>
              </w:rPr>
            </w:r>
            <w:r/>
          </w:p>
        </w:tc>
        <w:tc>
          <w:tcPr>
            <w:shd w:val="clear" w:color="auto" w:fill="auto"/>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t xml:space="preserve">①项目负责人：具有正高级规划师证书得2分，具有注册城乡规划师资格证书得2分，最高得4分；</w:t>
            </w:r>
            <w:r/>
          </w:p>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t xml:space="preserve">②技术负责人：具有土地或测绘类专业正高级职称得2分；</w:t>
            </w:r>
            <w:r/>
          </w:p>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t xml:space="preserve">③拟派项目组成员中（项目负责人和技术负责人除外）：具有水文地质专业高级工程师，每有一个得2分，最高得4分；具备中级城乡规划师，每有一个人得2分，最高得4分；具备注册安全工程师，每有一人得2分，最高得4分；本项最高得12分。</w:t>
            </w:r>
            <w:r/>
          </w:p>
          <w:p>
            <w:pPr>
              <w:widowControl/>
              <w:rPr>
                <w:rFonts w:ascii="宋体" w:hAnsi="宋体" w:eastAsia="宋体" w:cs="宋体"/>
                <w:sz w:val="20"/>
                <w:szCs w:val="20"/>
                <w:highlight w:val="none"/>
                <w14:ligatures w14:val="none"/>
              </w:rPr>
            </w:pPr>
            <w:r>
              <w:rPr>
                <w:rFonts w:hint="eastAsia" w:ascii="宋体" w:hAnsi="宋体" w:eastAsia="宋体" w:cs="宋体"/>
                <w:b/>
                <w:bCs/>
                <w:sz w:val="20"/>
                <w:szCs w:val="20"/>
                <w:highlight w:val="none"/>
                <w14:ligatures w14:val="none"/>
              </w:rPr>
              <w:t xml:space="preserve">备注：同一人员不重复得分，上述人员相关职称证书（如职称证书未体现专业另需提供学历证书或其他证明材料原件扫描件）、资格证书、注册证书；供应商为上述人员缴纳的近</w:t>
            </w:r>
            <w:r>
              <w:rPr>
                <w:rFonts w:hint="eastAsia" w:ascii="宋体" w:hAnsi="宋体" w:eastAsia="宋体" w:cs="宋体"/>
                <w:b/>
                <w:bCs/>
                <w:sz w:val="20"/>
                <w:szCs w:val="20"/>
                <w:highlight w:val="none"/>
                <w:lang w:val="en-US" w:eastAsia="zh-CN"/>
                <w14:ligatures w14:val="none"/>
              </w:rPr>
              <w:t xml:space="preserve">半年内</w:t>
            </w:r>
            <w:r>
              <w:rPr>
                <w:rFonts w:hint="eastAsia" w:ascii="宋体" w:hAnsi="宋体" w:eastAsia="宋体" w:cs="宋体"/>
                <w:b/>
                <w:bCs/>
                <w:sz w:val="20"/>
                <w:szCs w:val="20"/>
                <w:highlight w:val="none"/>
                <w14:ligatures w14:val="none"/>
              </w:rPr>
              <w:t xml:space="preserve">任意一个月份（不含投标当月）由相关主管部门出具的社保证明扫描件加盖公章。</w:t>
            </w:r>
            <w:r/>
          </w:p>
        </w:tc>
      </w:tr>
      <w:tr>
        <w:trPr>
          <w:trHeight w:val="1086"/>
        </w:trPr>
        <w:tc>
          <w:tcPr>
            <w:shd w:val="clear" w:color="auto" w:fill="auto"/>
            <w:tcW w:w="1080" w:type="dxa"/>
            <w:vAlign w:val="center"/>
            <w:vMerge w:val="restart"/>
            <w:textDirection w:val="lrTb"/>
            <w:noWrap w:val="false"/>
          </w:tcPr>
          <w:p>
            <w:pPr>
              <w:jc w:val="cente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t xml:space="preserve">3</w:t>
            </w:r>
            <w:r/>
          </w:p>
        </w:tc>
        <w:tc>
          <w:tcPr>
            <w:shd w:val="clear" w:color="auto" w:fill="auto"/>
            <w:tcW w:w="1080" w:type="dxa"/>
            <w:vAlign w:val="center"/>
            <w:vMerge w:val="restart"/>
            <w:textDirection w:val="lrTb"/>
            <w:noWrap w:val="false"/>
          </w:tcPr>
          <w:p>
            <w:pPr>
              <w:widowControl/>
              <w:rPr>
                <w:rFonts w:hint="default" w:ascii="宋体" w:hAnsi="宋体" w:eastAsia="宋体" w:cs="宋体"/>
                <w:sz w:val="20"/>
                <w:szCs w:val="20"/>
                <w:highlight w:val="none"/>
                <w:lang w:val="en-US" w:eastAsia="zh-CN"/>
                <w14:ligatures w14:val="none"/>
              </w:rPr>
            </w:pPr>
            <w:r>
              <w:rPr>
                <w:rFonts w:hint="eastAsia" w:ascii="宋体" w:hAnsi="宋体" w:eastAsia="宋体" w:cs="宋体"/>
                <w:sz w:val="20"/>
                <w:szCs w:val="20"/>
                <w:highlight w:val="none"/>
                <w:lang w:val="en-US" w:eastAsia="zh-CN"/>
                <w14:ligatures w14:val="none"/>
              </w:rPr>
              <w:t xml:space="preserve">技术方案（50分）</w:t>
            </w:r>
            <w:r/>
          </w:p>
        </w:tc>
        <w:tc>
          <w:tcPr>
            <w:shd w:val="clear" w:color="auto" w:fill="auto"/>
            <w:tcBorders>
              <w:right w:val="single" w:color="auto" w:sz="4" w:space="0"/>
            </w:tcBorders>
            <w:tcW w:w="1080" w:type="dxa"/>
            <w:vAlign w:val="center"/>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t xml:space="preserve">项目概况（8分）</w:t>
            </w:r>
            <w:r/>
          </w:p>
        </w:tc>
        <w:tc>
          <w:tcPr>
            <w:shd w:val="clear" w:color="auto" w:fill="auto"/>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t xml:space="preserve">根据投标人的项目概况进行评审，内容应当包括但不限于以下内容:①调查背景;②调查原则;③调查依据等。优于项目需求的得</w:t>
            </w:r>
            <w:r>
              <w:rPr>
                <w:rFonts w:hint="eastAsia" w:ascii="宋体" w:hAnsi="宋体" w:eastAsia="宋体" w:cs="宋体"/>
                <w:sz w:val="20"/>
                <w:szCs w:val="20"/>
                <w:highlight w:val="none"/>
                <w:lang w:val="en-US" w:eastAsia="zh-CN"/>
                <w14:ligatures w14:val="none"/>
              </w:rPr>
              <w:t xml:space="preserve">8</w:t>
            </w:r>
            <w:r>
              <w:rPr>
                <w:rFonts w:hint="eastAsia" w:ascii="宋体" w:hAnsi="宋体" w:eastAsia="宋体" w:cs="宋体"/>
                <w:sz w:val="20"/>
                <w:szCs w:val="20"/>
                <w:highlight w:val="none"/>
                <w14:ligatures w14:val="none"/>
              </w:rPr>
              <w:t xml:space="preserve">分;符合项目需求的得</w:t>
            </w:r>
            <w:r>
              <w:rPr>
                <w:rFonts w:hint="eastAsia" w:ascii="宋体" w:hAnsi="宋体" w:eastAsia="宋体" w:cs="宋体"/>
                <w:sz w:val="20"/>
                <w:szCs w:val="20"/>
                <w:highlight w:val="none"/>
                <w:lang w:val="en-US" w:eastAsia="zh-CN"/>
                <w14:ligatures w14:val="none"/>
              </w:rPr>
              <w:t xml:space="preserve">6</w:t>
            </w:r>
            <w:r>
              <w:rPr>
                <w:rFonts w:hint="eastAsia" w:ascii="宋体" w:hAnsi="宋体" w:eastAsia="宋体" w:cs="宋体"/>
                <w:sz w:val="20"/>
                <w:szCs w:val="20"/>
                <w:highlight w:val="none"/>
                <w14:ligatures w14:val="none"/>
              </w:rPr>
              <w:t xml:space="preserve">分;不满足项目需求的得4分;未提供的不得分。</w:t>
            </w:r>
            <w:r/>
          </w:p>
        </w:tc>
      </w:tr>
      <w:tr>
        <w:trPr>
          <w:trHeight w:val="1228"/>
        </w:trPr>
        <w:tc>
          <w:tcPr>
            <w:shd w:val="clear" w:color="auto" w:fill="auto"/>
            <w:tcW w:w="1080" w:type="dxa"/>
            <w:vAlign w:val="center"/>
            <w:vMerge w:val="continue"/>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r>
            <w:r/>
          </w:p>
        </w:tc>
        <w:tc>
          <w:tcPr>
            <w:shd w:val="clear" w:color="auto" w:fill="auto"/>
            <w:tcW w:w="1080" w:type="dxa"/>
            <w:vAlign w:val="center"/>
            <w:vMerge w:val="continue"/>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r>
            <w:r/>
          </w:p>
        </w:tc>
        <w:tc>
          <w:tcPr>
            <w:shd w:val="clear" w:color="auto" w:fill="auto"/>
            <w:tcW w:w="1080" w:type="dxa"/>
            <w:vAlign w:val="center"/>
            <w:textDirection w:val="lrTb"/>
            <w:noWrap w:val="false"/>
          </w:tcPr>
          <w:p>
            <w:pPr>
              <w:widowControl/>
              <w:rPr>
                <w:rFonts w:hint="eastAsia" w:ascii="宋体" w:hAnsi="宋体" w:eastAsia="宋体" w:cs="宋体"/>
                <w:sz w:val="20"/>
                <w:szCs w:val="20"/>
                <w:highlight w:val="none"/>
                <w:lang w:val="en-US" w:eastAsia="zh-CN"/>
                <w14:ligatures w14:val="none"/>
              </w:rPr>
            </w:pPr>
            <w:r>
              <w:rPr>
                <w:rFonts w:hint="eastAsia" w:ascii="宋体" w:hAnsi="宋体" w:eastAsia="宋体" w:cs="宋体"/>
                <w:sz w:val="20"/>
                <w:szCs w:val="20"/>
                <w:highlight w:val="none"/>
                <w14:ligatures w14:val="none"/>
              </w:rPr>
              <w:t xml:space="preserve">工作方案（10分）</w:t>
            </w:r>
            <w:r/>
          </w:p>
        </w:tc>
        <w:tc>
          <w:tcPr>
            <w:shd w:val="clear" w:color="auto" w:fill="auto"/>
            <w:tcBorders>
              <w:top w:val="single" w:color="auto" w:sz="4" w:space="0"/>
              <w:bottom w:val="single" w:color="auto" w:sz="4" w:space="0"/>
            </w:tcBorders>
            <w:tcW w:w="6220" w:type="dxa"/>
            <w:vAlign w:val="center"/>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t xml:space="preserve">据投标人的工作方案进行评审，内容应当包括但不限于以下内容：</w:t>
            </w:r>
            <w:r>
              <w:rPr>
                <w:rFonts w:hint="eastAsia" w:ascii="宋体" w:hAnsi="宋体" w:eastAsia="宋体" w:cs="宋体"/>
                <w:sz w:val="20"/>
                <w:szCs w:val="20"/>
                <w:highlight w:val="none"/>
                <w:lang w:val="en-US" w:eastAsia="zh-CN"/>
                <w14:ligatures w14:val="none"/>
              </w:rPr>
              <w:t xml:space="preserve">①客土来源调查；②调查和检测的工作量确定；③土源地土壤环境质量评价等。</w:t>
            </w:r>
            <w:r>
              <w:rPr>
                <w:rFonts w:hint="eastAsia" w:ascii="宋体" w:hAnsi="宋体" w:cs="宋体"/>
                <w:color w:val="auto"/>
                <w:sz w:val="21"/>
                <w:szCs w:val="21"/>
                <w:highlight w:val="none"/>
              </w:rPr>
              <w:t xml:space="preserve">优于项目需求的得</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分;符合项目需求的得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分;不满足项目需求的得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分;未提供的不得分。</w:t>
            </w:r>
            <w:r/>
          </w:p>
        </w:tc>
      </w:tr>
      <w:tr>
        <w:trPr>
          <w:trHeight w:val="1177"/>
        </w:trPr>
        <w:tc>
          <w:tcPr>
            <w:shd w:val="clear" w:color="auto" w:fill="auto"/>
            <w:tcW w:w="1080" w:type="dxa"/>
            <w:vAlign w:val="center"/>
            <w:vMerge w:val="continue"/>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r>
            <w:r/>
          </w:p>
        </w:tc>
        <w:tc>
          <w:tcPr>
            <w:shd w:val="clear" w:color="auto" w:fill="auto"/>
            <w:tcW w:w="1080" w:type="dxa"/>
            <w:vAlign w:val="center"/>
            <w:vMerge w:val="continue"/>
            <w:textDirection w:val="lrTb"/>
            <w:noWrap w:val="false"/>
          </w:tcPr>
          <w:p>
            <w:pPr>
              <w:widowControl/>
              <w:rPr>
                <w:rFonts w:hint="eastAsia" w:ascii="宋体" w:hAnsi="宋体" w:eastAsia="宋体" w:cs="宋体"/>
                <w:sz w:val="20"/>
                <w:szCs w:val="20"/>
                <w:highlight w:val="none"/>
                <w:lang w:eastAsia="zh-CN"/>
                <w14:ligatures w14:val="none"/>
              </w:rPr>
            </w:pPr>
            <w:r>
              <w:rPr>
                <w:rFonts w:hint="eastAsia" w:ascii="宋体" w:hAnsi="宋体" w:eastAsia="宋体" w:cs="宋体"/>
                <w:sz w:val="20"/>
                <w:szCs w:val="20"/>
                <w:highlight w:val="none"/>
                <w:lang w:eastAsia="zh-CN"/>
                <w14:ligatures w14:val="none"/>
              </w:rPr>
            </w:r>
            <w:r/>
          </w:p>
        </w:tc>
        <w:tc>
          <w:tcPr>
            <w:shd w:val="clear" w:color="auto" w:fill="auto"/>
            <w:tcBorders>
              <w:right w:val="single" w:color="auto" w:sz="4" w:space="0"/>
            </w:tcBorders>
            <w:tcW w:w="1080" w:type="dxa"/>
            <w:vAlign w:val="center"/>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lang w:eastAsia="zh-CN"/>
                <w14:ligatures w14:val="none"/>
              </w:rPr>
              <w:t xml:space="preserve">时间进度（8分）</w:t>
            </w:r>
            <w:r/>
          </w:p>
        </w:tc>
        <w:tc>
          <w:tcPr>
            <w:shd w:val="clear" w:color="auto" w:fill="auto"/>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t xml:space="preserve">根据投标人的</w:t>
            </w:r>
            <w:r>
              <w:rPr>
                <w:rFonts w:hint="eastAsia" w:ascii="宋体" w:hAnsi="宋体" w:eastAsia="宋体" w:cs="宋体"/>
                <w:sz w:val="20"/>
                <w:szCs w:val="20"/>
                <w:highlight w:val="none"/>
                <w:lang w:eastAsia="zh-CN"/>
                <w14:ligatures w14:val="none"/>
              </w:rPr>
              <w:t xml:space="preserve">时间进度</w:t>
            </w:r>
            <w:r>
              <w:rPr>
                <w:rFonts w:hint="eastAsia" w:ascii="宋体" w:hAnsi="宋体" w:eastAsia="宋体" w:cs="宋体"/>
                <w:sz w:val="20"/>
                <w:szCs w:val="20"/>
                <w:highlight w:val="none"/>
                <w14:ligatures w14:val="none"/>
              </w:rPr>
              <w:t xml:space="preserve">进行评审，内容应当包括但不限于以下内容</w:t>
            </w:r>
            <w:r>
              <w:rPr>
                <w:rFonts w:hint="eastAsia" w:ascii="宋体" w:hAnsi="宋体" w:eastAsia="宋体" w:cs="宋体"/>
                <w:sz w:val="20"/>
                <w:szCs w:val="20"/>
                <w:highlight w:val="none"/>
                <w:lang w:eastAsia="zh-CN"/>
                <w14:ligatures w14:val="none"/>
              </w:rPr>
              <w:t xml:space="preserve">：</w:t>
            </w:r>
            <w:r>
              <w:rPr>
                <w:rFonts w:hint="eastAsia" w:ascii="宋体" w:hAnsi="宋体" w:eastAsia="宋体" w:cs="宋体"/>
                <w:sz w:val="20"/>
                <w:szCs w:val="20"/>
                <w:highlight w:val="none"/>
                <w14:ligatures w14:val="none"/>
              </w:rPr>
              <w:t xml:space="preserve">①工作进度计划；②工期保证措施</w:t>
            </w:r>
            <w:r>
              <w:rPr>
                <w:rFonts w:hint="eastAsia" w:ascii="宋体" w:hAnsi="宋体" w:eastAsia="宋体" w:cs="宋体"/>
                <w:sz w:val="20"/>
                <w:szCs w:val="20"/>
                <w:highlight w:val="none"/>
                <w:lang w:val="en-US" w:eastAsia="zh-CN"/>
                <w14:ligatures w14:val="none"/>
              </w:rPr>
              <w:t xml:space="preserve">等</w:t>
            </w:r>
            <w:r>
              <w:rPr>
                <w:rFonts w:hint="eastAsia" w:ascii="宋体" w:hAnsi="宋体" w:eastAsia="宋体" w:cs="宋体"/>
                <w:sz w:val="20"/>
                <w:szCs w:val="20"/>
                <w:highlight w:val="none"/>
                <w14:ligatures w14:val="none"/>
              </w:rPr>
              <w:t xml:space="preserve">。</w:t>
            </w:r>
            <w:r>
              <w:rPr>
                <w:rFonts w:hint="eastAsia" w:ascii="宋体" w:hAnsi="宋体" w:cs="宋体"/>
                <w:color w:val="auto"/>
                <w:sz w:val="21"/>
                <w:szCs w:val="21"/>
                <w:highlight w:val="none"/>
              </w:rPr>
              <w:t xml:space="preserve">优于项目需求的得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分;符合项目需求的得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分;不满足项目需求的得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分;未提供的不得分。</w:t>
            </w:r>
            <w:r/>
          </w:p>
        </w:tc>
      </w:tr>
      <w:tr>
        <w:trPr>
          <w:trHeight w:val="510"/>
        </w:trPr>
        <w:tc>
          <w:tcPr>
            <w:shd w:val="clear" w:color="auto" w:fill="auto"/>
            <w:tcW w:w="1080" w:type="dxa"/>
            <w:vAlign w:val="center"/>
            <w:vMerge w:val="continue"/>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r>
            <w:r/>
          </w:p>
        </w:tc>
        <w:tc>
          <w:tcPr>
            <w:shd w:val="clear" w:color="auto" w:fill="auto"/>
            <w:tcW w:w="1080" w:type="dxa"/>
            <w:vAlign w:val="center"/>
            <w:vMerge w:val="continue"/>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r>
            <w:r/>
          </w:p>
        </w:tc>
        <w:tc>
          <w:tcPr>
            <w:shd w:val="clear" w:color="auto" w:fill="auto"/>
            <w:tcW w:w="1080" w:type="dxa"/>
            <w:vAlign w:val="center"/>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t xml:space="preserve">质量保证（10分）</w:t>
            </w:r>
            <w:r/>
          </w:p>
        </w:tc>
        <w:tc>
          <w:tcPr>
            <w:shd w:val="clear" w:color="auto" w:fill="auto"/>
            <w:tcBorders>
              <w:top w:val="single" w:color="auto" w:sz="4" w:space="0"/>
              <w:bottom w:val="single" w:color="auto" w:sz="4" w:space="0"/>
            </w:tcBorders>
            <w:tcW w:w="6220" w:type="dxa"/>
            <w:vAlign w:val="center"/>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t xml:space="preserve">根据投标人的质量保证措施进行评审，内容应当包括但不限于以下内容:①质量保证与质量控制;②采样分析计划的质量保障;③现场采样质量控制;④实验室分析质量控制;⑤进度管理与保障等。优于项目需求的得10分;符合项目需求的得</w:t>
            </w:r>
            <w:r>
              <w:rPr>
                <w:rFonts w:hint="eastAsia" w:ascii="宋体" w:hAnsi="宋体" w:eastAsia="宋体" w:cs="宋体"/>
                <w:sz w:val="20"/>
                <w:szCs w:val="20"/>
                <w:highlight w:val="none"/>
                <w:lang w:val="en-US" w:eastAsia="zh-CN"/>
                <w14:ligatures w14:val="none"/>
              </w:rPr>
              <w:t xml:space="preserve">6</w:t>
            </w:r>
            <w:r>
              <w:rPr>
                <w:rFonts w:hint="eastAsia" w:ascii="宋体" w:hAnsi="宋体" w:eastAsia="宋体" w:cs="宋体"/>
                <w:sz w:val="20"/>
                <w:szCs w:val="20"/>
                <w:highlight w:val="none"/>
                <w14:ligatures w14:val="none"/>
              </w:rPr>
              <w:t xml:space="preserve">分;不满足项目需求的得4分;未提供的不得分。</w:t>
            </w:r>
            <w:r/>
          </w:p>
        </w:tc>
      </w:tr>
      <w:tr>
        <w:trPr>
          <w:trHeight w:val="1432"/>
        </w:trPr>
        <w:tc>
          <w:tcPr>
            <w:shd w:val="clear" w:color="auto" w:fill="auto"/>
            <w:tcW w:w="1080" w:type="dxa"/>
            <w:vAlign w:val="center"/>
            <w:vMerge w:val="continue"/>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r>
            <w:r/>
          </w:p>
        </w:tc>
        <w:tc>
          <w:tcPr>
            <w:shd w:val="clear" w:color="auto" w:fill="auto"/>
            <w:tcW w:w="1080" w:type="dxa"/>
            <w:vAlign w:val="center"/>
            <w:vMerge w:val="continue"/>
            <w:textDirection w:val="lrTb"/>
            <w:noWrap w:val="false"/>
          </w:tcPr>
          <w:p>
            <w:pPr>
              <w:widowControl/>
              <w:rPr>
                <w:rFonts w:hint="eastAsia" w:ascii="宋体" w:hAnsi="宋体" w:eastAsia="宋体" w:cs="宋体"/>
                <w:sz w:val="20"/>
                <w:szCs w:val="20"/>
                <w:highlight w:val="none"/>
                <w:lang w:eastAsia="zh-CN"/>
                <w14:ligatures w14:val="none"/>
              </w:rPr>
            </w:pPr>
            <w:r>
              <w:rPr>
                <w:rFonts w:hint="eastAsia" w:ascii="宋体" w:hAnsi="宋体" w:eastAsia="宋体" w:cs="宋体"/>
                <w:sz w:val="20"/>
                <w:szCs w:val="20"/>
                <w:highlight w:val="none"/>
                <w:lang w:eastAsia="zh-CN"/>
                <w14:ligatures w14:val="none"/>
              </w:rPr>
            </w:r>
            <w:r/>
          </w:p>
        </w:tc>
        <w:tc>
          <w:tcPr>
            <w:shd w:val="clear" w:color="auto" w:fill="auto"/>
            <w:tcBorders>
              <w:right w:val="single" w:color="auto" w:sz="4" w:space="0"/>
            </w:tcBorders>
            <w:tcW w:w="1080" w:type="dxa"/>
            <w:vAlign w:val="center"/>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lang w:eastAsia="zh-CN"/>
                <w14:ligatures w14:val="none"/>
              </w:rPr>
              <w:t xml:space="preserve">服务承诺（8分）</w:t>
            </w:r>
            <w:r/>
          </w:p>
        </w:tc>
        <w:tc>
          <w:tcPr>
            <w:shd w:val="clear" w:color="auto" w:fill="auto"/>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t xml:space="preserve">根据投标人的</w:t>
            </w:r>
            <w:r>
              <w:rPr>
                <w:rFonts w:hint="eastAsia" w:ascii="宋体" w:hAnsi="宋体" w:eastAsia="宋体" w:cs="宋体"/>
                <w:sz w:val="20"/>
                <w:szCs w:val="20"/>
                <w:highlight w:val="none"/>
                <w:lang w:eastAsia="zh-CN"/>
                <w14:ligatures w14:val="none"/>
              </w:rPr>
              <w:t xml:space="preserve">服务承诺</w:t>
            </w:r>
            <w:r>
              <w:rPr>
                <w:rFonts w:hint="eastAsia" w:ascii="宋体" w:hAnsi="宋体" w:eastAsia="宋体" w:cs="宋体"/>
                <w:sz w:val="20"/>
                <w:szCs w:val="20"/>
                <w:highlight w:val="none"/>
                <w14:ligatures w14:val="none"/>
              </w:rPr>
              <w:t xml:space="preserve">进行评审，内容应当包括但不限于以下内容：①依法规范用工承诺及应对履约期内各类风险承诺；②对于采购人的配合措施。优于项目需求的得</w:t>
            </w:r>
            <w:r>
              <w:rPr>
                <w:rFonts w:hint="eastAsia" w:ascii="宋体" w:hAnsi="宋体" w:eastAsia="宋体" w:cs="宋体"/>
                <w:sz w:val="20"/>
                <w:szCs w:val="20"/>
                <w:highlight w:val="none"/>
                <w:lang w:val="en-US" w:eastAsia="zh-CN"/>
                <w14:ligatures w14:val="none"/>
              </w:rPr>
              <w:t xml:space="preserve">8</w:t>
            </w:r>
            <w:r>
              <w:rPr>
                <w:rFonts w:hint="eastAsia" w:ascii="宋体" w:hAnsi="宋体" w:eastAsia="宋体" w:cs="宋体"/>
                <w:sz w:val="20"/>
                <w:szCs w:val="20"/>
                <w:highlight w:val="none"/>
                <w14:ligatures w14:val="none"/>
              </w:rPr>
              <w:t xml:space="preserve">分;符合项目需求的得</w:t>
            </w:r>
            <w:r>
              <w:rPr>
                <w:rFonts w:hint="eastAsia" w:ascii="宋体" w:hAnsi="宋体" w:eastAsia="宋体" w:cs="宋体"/>
                <w:sz w:val="20"/>
                <w:szCs w:val="20"/>
                <w:highlight w:val="none"/>
                <w:lang w:val="en-US" w:eastAsia="zh-CN"/>
                <w14:ligatures w14:val="none"/>
              </w:rPr>
              <w:t xml:space="preserve">6</w:t>
            </w:r>
            <w:r>
              <w:rPr>
                <w:rFonts w:hint="eastAsia" w:ascii="宋体" w:hAnsi="宋体" w:eastAsia="宋体" w:cs="宋体"/>
                <w:sz w:val="20"/>
                <w:szCs w:val="20"/>
                <w:highlight w:val="none"/>
                <w14:ligatures w14:val="none"/>
              </w:rPr>
              <w:t xml:space="preserve">分;不满足项目需求的得4分;未提供的不得分。</w:t>
            </w:r>
            <w:r/>
          </w:p>
        </w:tc>
      </w:tr>
      <w:tr>
        <w:trPr>
          <w:trHeight w:val="1159"/>
        </w:trPr>
        <w:tc>
          <w:tcPr>
            <w:shd w:val="clear" w:color="auto" w:fill="auto"/>
            <w:tcW w:w="1080" w:type="dxa"/>
            <w:vAlign w:val="center"/>
            <w:vMerge w:val="continue"/>
            <w:textDirection w:val="lrTb"/>
            <w:noWrap w:val="false"/>
          </w:tcPr>
          <w:p>
            <w:pPr>
              <w:widowControl/>
              <w:rPr>
                <w:rFonts w:hint="eastAsia" w:ascii="宋体" w:hAnsi="宋体" w:eastAsia="宋体" w:cs="宋体"/>
                <w:sz w:val="20"/>
                <w:szCs w:val="20"/>
                <w:highlight w:val="none"/>
                <w:lang w:val="en-US" w:eastAsia="zh-CN"/>
                <w14:ligatures w14:val="none"/>
              </w:rPr>
            </w:pPr>
            <w:r>
              <w:rPr>
                <w:rFonts w:hint="eastAsia" w:ascii="宋体" w:hAnsi="宋体" w:eastAsia="宋体" w:cs="宋体"/>
                <w:sz w:val="20"/>
                <w:szCs w:val="20"/>
                <w:highlight w:val="none"/>
                <w:lang w:val="en-US" w:eastAsia="zh-CN"/>
                <w14:ligatures w14:val="none"/>
              </w:rPr>
            </w:r>
            <w:r/>
          </w:p>
        </w:tc>
        <w:tc>
          <w:tcPr>
            <w:shd w:val="clear" w:color="auto" w:fill="auto"/>
            <w:tcW w:w="1080" w:type="dxa"/>
            <w:vAlign w:val="center"/>
            <w:vMerge w:val="continue"/>
            <w:textDirection w:val="lrTb"/>
            <w:noWrap w:val="false"/>
          </w:tcPr>
          <w:p>
            <w:pPr>
              <w:widowControl/>
              <w:rPr>
                <w:rFonts w:hint="eastAsia" w:ascii="宋体" w:hAnsi="宋体" w:eastAsia="宋体" w:cs="宋体"/>
                <w:sz w:val="20"/>
                <w:szCs w:val="20"/>
                <w:highlight w:val="none"/>
                <w:lang w:eastAsia="zh-CN"/>
                <w14:ligatures w14:val="none"/>
              </w:rPr>
            </w:pPr>
            <w:r>
              <w:rPr>
                <w:rFonts w:hint="eastAsia" w:ascii="宋体" w:hAnsi="宋体" w:eastAsia="宋体" w:cs="宋体"/>
                <w:sz w:val="20"/>
                <w:szCs w:val="20"/>
                <w:highlight w:val="none"/>
                <w:lang w:eastAsia="zh-CN"/>
                <w14:ligatures w14:val="none"/>
              </w:rPr>
            </w:r>
            <w:r/>
          </w:p>
        </w:tc>
        <w:tc>
          <w:tcPr>
            <w:shd w:val="clear" w:color="auto" w:fill="auto"/>
            <w:tcBorders>
              <w:right w:val="single" w:color="auto" w:sz="4" w:space="0"/>
            </w:tcBorders>
            <w:tcW w:w="1080" w:type="dxa"/>
            <w:vAlign w:val="center"/>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lang w:eastAsia="zh-CN"/>
                <w14:ligatures w14:val="none"/>
              </w:rPr>
              <w:t xml:space="preserve">合理化建议（6分）</w:t>
            </w:r>
            <w:r/>
          </w:p>
        </w:tc>
        <w:tc>
          <w:tcPr>
            <w:shd w:val="clear" w:color="auto" w:fill="auto"/>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widowControl/>
              <w:rPr>
                <w:rFonts w:hint="eastAsia" w:ascii="宋体" w:hAnsi="宋体" w:eastAsia="宋体" w:cs="宋体"/>
                <w:sz w:val="20"/>
                <w:szCs w:val="20"/>
                <w:highlight w:val="none"/>
                <w:lang w:eastAsia="zh-CN"/>
                <w14:ligatures w14:val="none"/>
              </w:rPr>
            </w:pPr>
            <w:r>
              <w:rPr>
                <w:rFonts w:hint="eastAsia" w:ascii="宋体" w:hAnsi="宋体" w:eastAsia="宋体" w:cs="宋体"/>
                <w:sz w:val="20"/>
                <w:szCs w:val="20"/>
                <w:highlight w:val="none"/>
                <w14:ligatures w14:val="none"/>
              </w:rPr>
              <w:t xml:space="preserve">投标人根据本项目实际情况，提出合理化建议</w:t>
            </w:r>
            <w:r>
              <w:rPr>
                <w:rFonts w:hint="eastAsia" w:ascii="宋体" w:hAnsi="宋体" w:eastAsia="宋体" w:cs="宋体"/>
                <w:sz w:val="20"/>
                <w:szCs w:val="20"/>
                <w:highlight w:val="none"/>
                <w:lang w:eastAsia="zh-CN"/>
                <w14:ligatures w14:val="none"/>
              </w:rPr>
              <w:t xml:space="preserve">。</w:t>
            </w:r>
            <w:r/>
          </w:p>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14:ligatures w14:val="none"/>
              </w:rPr>
              <w:t xml:space="preserve">优于项目需求的得</w:t>
            </w:r>
            <w:r>
              <w:rPr>
                <w:rFonts w:hint="eastAsia" w:ascii="宋体" w:hAnsi="宋体" w:eastAsia="宋体" w:cs="宋体"/>
                <w:sz w:val="20"/>
                <w:szCs w:val="20"/>
                <w:highlight w:val="none"/>
                <w:lang w:val="en-US" w:eastAsia="zh-CN"/>
                <w14:ligatures w14:val="none"/>
              </w:rPr>
              <w:t xml:space="preserve">6</w:t>
            </w:r>
            <w:r>
              <w:rPr>
                <w:rFonts w:hint="eastAsia" w:ascii="宋体" w:hAnsi="宋体" w:eastAsia="宋体" w:cs="宋体"/>
                <w:sz w:val="20"/>
                <w:szCs w:val="20"/>
                <w:highlight w:val="none"/>
                <w14:ligatures w14:val="none"/>
              </w:rPr>
              <w:t xml:space="preserve">分;符合项目需求的得</w:t>
            </w:r>
            <w:r>
              <w:rPr>
                <w:rFonts w:hint="eastAsia" w:ascii="宋体" w:hAnsi="宋体" w:eastAsia="宋体" w:cs="宋体"/>
                <w:sz w:val="20"/>
                <w:szCs w:val="20"/>
                <w:highlight w:val="none"/>
                <w:lang w:val="en-US" w:eastAsia="zh-CN"/>
                <w14:ligatures w14:val="none"/>
              </w:rPr>
              <w:t xml:space="preserve">4</w:t>
            </w:r>
            <w:r>
              <w:rPr>
                <w:rFonts w:hint="eastAsia" w:ascii="宋体" w:hAnsi="宋体" w:eastAsia="宋体" w:cs="宋体"/>
                <w:sz w:val="20"/>
                <w:szCs w:val="20"/>
                <w:highlight w:val="none"/>
                <w14:ligatures w14:val="none"/>
              </w:rPr>
              <w:t xml:space="preserve">分;不满足项目需求的得</w:t>
            </w:r>
            <w:r>
              <w:rPr>
                <w:rFonts w:hint="eastAsia" w:ascii="宋体" w:hAnsi="宋体" w:eastAsia="宋体" w:cs="宋体"/>
                <w:sz w:val="20"/>
                <w:szCs w:val="20"/>
                <w:highlight w:val="none"/>
                <w:lang w:val="en-US" w:eastAsia="zh-CN"/>
                <w14:ligatures w14:val="none"/>
              </w:rPr>
              <w:t xml:space="preserve">2</w:t>
            </w:r>
            <w:r>
              <w:rPr>
                <w:rFonts w:hint="eastAsia" w:ascii="宋体" w:hAnsi="宋体" w:eastAsia="宋体" w:cs="宋体"/>
                <w:sz w:val="20"/>
                <w:szCs w:val="20"/>
                <w:highlight w:val="none"/>
                <w14:ligatures w14:val="none"/>
              </w:rPr>
              <w:t xml:space="preserve">分;未提供的不得分。</w:t>
            </w:r>
            <w:r/>
          </w:p>
        </w:tc>
      </w:tr>
      <w:tr>
        <w:trPr>
          <w:trHeight w:val="1198"/>
        </w:trPr>
        <w:tc>
          <w:tcPr>
            <w:gridSpan w:val="4"/>
            <w:shd w:val="clear" w:color="auto" w:fill="auto"/>
            <w:tcBorders>
              <w:right w:val="single" w:color="auto" w:sz="4" w:space="0"/>
            </w:tcBorders>
            <w:tcW w:w="9460" w:type="dxa"/>
            <w:vAlign w:val="center"/>
            <w:textDirection w:val="lrTb"/>
            <w:noWrap w:val="false"/>
          </w:tcPr>
          <w:p>
            <w:pPr>
              <w:widowControl/>
              <w:rPr>
                <w:rFonts w:hint="eastAsia" w:ascii="宋体" w:hAnsi="宋体" w:eastAsia="宋体" w:cs="宋体"/>
                <w:sz w:val="20"/>
                <w:szCs w:val="20"/>
                <w:highlight w:val="none"/>
                <w14:ligatures w14:val="none"/>
              </w:rPr>
            </w:pPr>
            <w:r>
              <w:rPr>
                <w:rFonts w:hint="eastAsia" w:ascii="宋体" w:hAnsi="宋体" w:eastAsia="宋体" w:cs="宋体"/>
                <w:sz w:val="20"/>
                <w:szCs w:val="20"/>
                <w:highlight w:val="none"/>
                <w:lang w:val="en-US" w:eastAsia="zh-CN"/>
                <w14:ligatures w14:val="none"/>
              </w:rPr>
              <w:t xml:space="preserve">备注：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pStyle w:val="820"/>
        <w:ind w:firstLine="482"/>
        <w:spacing w:before="120" w:beforeAutospacing="0" w:after="12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20"/>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0"/>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20"/>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20"/>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20"/>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20"/>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20"/>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20"/>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响应文件格式 </w:t>
      </w:r>
      <w:r/>
    </w:p>
    <w:p>
      <w:pPr>
        <w:pStyle w:val="820"/>
        <w:jc w:val="center"/>
        <w:spacing w:beforeAutospacing="0" w:afterAutospacing="0"/>
        <w:rPr>
          <w:color w:val="auto"/>
          <w:highlight w:val="none"/>
        </w:rPr>
      </w:pPr>
      <w:r/>
      <w:bookmarkStart w:id="163" w:name="_Toc120614282"/>
      <w:r/>
      <w:bookmarkEnd w:id="163"/>
      <w:r/>
      <w:bookmarkStart w:id="164" w:name="_Toc49090576"/>
      <w:r/>
      <w:bookmarkEnd w:id="164"/>
      <w:r/>
      <w:bookmarkStart w:id="165" w:name="_Toc26554094"/>
      <w:r/>
      <w:bookmarkStart w:id="166" w:name="_Hlt26955039"/>
      <w:r/>
      <w:bookmarkStart w:id="167" w:name="_Hlt26671244"/>
      <w:r>
        <w:rPr>
          <w:rFonts w:hint="eastAsia" w:ascii="宋体" w:hAnsi="宋体" w:eastAsia="宋体" w:cs="宋体"/>
          <w:b/>
          <w:color w:val="auto"/>
          <w:sz w:val="72"/>
          <w:szCs w:val="72"/>
          <w:highlight w:val="none"/>
        </w:rPr>
        <w:t xml:space="preserve">响  应  文  件</w:t>
      </w:r>
      <w:r/>
    </w:p>
    <w:p>
      <w:pPr>
        <w:pStyle w:val="820"/>
        <w:jc w:val="center"/>
        <w:spacing w:beforeAutospacing="0" w:afterAutospacing="0"/>
        <w:rPr>
          <w:color w:val="auto"/>
          <w:highlight w:val="none"/>
        </w:rPr>
      </w:pPr>
      <w:r>
        <w:rPr>
          <w:color w:val="auto"/>
          <w:highlight w:val="none"/>
        </w:rPr>
        <w:t xml:space="preserve"> </w:t>
      </w:r>
      <w:r/>
    </w:p>
    <w:p>
      <w:pPr>
        <w:pStyle w:val="820"/>
        <w:jc w:val="center"/>
        <w:spacing w:beforeAutospacing="0" w:afterAutospacing="0"/>
        <w:rPr>
          <w:color w:val="auto"/>
          <w:highlight w:val="none"/>
        </w:rPr>
      </w:pPr>
      <w:r>
        <w:rPr>
          <w:color w:val="auto"/>
          <w:highlight w:val="none"/>
        </w:rPr>
        <w:t xml:space="preserve"> </w:t>
      </w:r>
      <w:r/>
    </w:p>
    <w:p>
      <w:pPr>
        <w:pStyle w:val="820"/>
        <w:jc w:val="center"/>
        <w:spacing w:beforeAutospacing="0" w:afterAutospacing="0"/>
        <w:rPr>
          <w:color w:val="auto"/>
          <w:highlight w:val="none"/>
        </w:rPr>
      </w:pPr>
      <w:r>
        <w:rPr>
          <w:color w:val="auto"/>
          <w:highlight w:val="none"/>
        </w:rPr>
        <w:t xml:space="preserve"> </w:t>
      </w:r>
      <w:r/>
    </w:p>
    <w:p>
      <w:pPr>
        <w:pStyle w:val="820"/>
        <w:jc w:val="center"/>
        <w:spacing w:beforeAutospacing="0" w:afterAutospacing="0"/>
        <w:rPr>
          <w:color w:val="auto"/>
          <w:highlight w:val="none"/>
        </w:rPr>
      </w:pPr>
      <w:r>
        <w:rPr>
          <w:color w:val="auto"/>
          <w:highlight w:val="none"/>
        </w:rPr>
        <w:t xml:space="preserve"> </w:t>
      </w:r>
      <w:r/>
    </w:p>
    <w:p>
      <w:pPr>
        <w:pStyle w:val="820"/>
        <w:jc w:val="center"/>
        <w:spacing w:beforeAutospacing="0" w:afterAutospacing="0"/>
        <w:rPr>
          <w:color w:val="auto"/>
          <w:highlight w:val="none"/>
        </w:rPr>
      </w:pPr>
      <w:r>
        <w:rPr>
          <w:color w:val="auto"/>
          <w:highlight w:val="none"/>
        </w:rPr>
        <w:t xml:space="preserve"> </w:t>
      </w:r>
      <w:r/>
    </w:p>
    <w:p>
      <w:pPr>
        <w:pStyle w:val="820"/>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820"/>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820"/>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供应商名称：</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r>
      <w:r/>
    </w:p>
    <w:p>
      <w:pPr>
        <w:pStyle w:val="820"/>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820"/>
        <w:jc w:val="center"/>
        <w:spacing w:beforeAutospacing="0" w:afterAutospacing="0" w:line="0" w:lineRule="atLeast"/>
        <w:rPr>
          <w:color w:val="auto"/>
          <w:highlight w:val="none"/>
        </w:rPr>
      </w:pPr>
      <w:r>
        <w:rPr>
          <w:color w:val="auto"/>
          <w:highlight w:val="none"/>
        </w:rPr>
        <w:t xml:space="preserve"> </w:t>
      </w:r>
      <w:r/>
    </w:p>
    <w:p>
      <w:pPr>
        <w:pStyle w:val="820"/>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0"/>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0"/>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0"/>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0"/>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0"/>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0"/>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rPr>
          <w:rFonts w:ascii="宋体" w:hAnsi="宋体" w:eastAsia="宋体" w:cs="宋体"/>
          <w:b/>
          <w:color w:val="auto"/>
          <w:sz w:val="32"/>
          <w:szCs w:val="32"/>
          <w:highlight w:val="none"/>
        </w:rPr>
      </w:r>
      <w:r/>
    </w:p>
    <w:p>
      <w:pPr>
        <w:pStyle w:val="820"/>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20"/>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20"/>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p>
    <w:p>
      <w:pPr>
        <w:pStyle w:val="820"/>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0"/>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0"/>
        <w:jc w:val="both"/>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0"/>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820"/>
        <w:jc w:val="center"/>
        <w:spacing w:beforeAutospacing="0" w:afterAutospacing="0" w:line="0" w:lineRule="atLeast"/>
        <w:rPr>
          <w:color w:val="auto"/>
          <w:highlight w:val="none"/>
        </w:rPr>
      </w:pPr>
      <w:r>
        <w:rPr>
          <w:color w:val="auto"/>
          <w:highlight w:val="none"/>
        </w:rPr>
        <w:t xml:space="preserve"> </w:t>
      </w:r>
      <w:r/>
    </w:p>
    <w:p>
      <w:pPr>
        <w:pStyle w:val="820"/>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一、法人或者其他组织的营业执照等证明文件，自然人的身份证明</w:t>
      </w:r>
      <w:r/>
    </w:p>
    <w:p>
      <w:pPr>
        <w:pStyle w:val="820"/>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二、上一年度的财务状况报</w:t>
      </w:r>
      <w:r>
        <w:rPr>
          <w:rFonts w:hint="eastAsia" w:asciiTheme="minorEastAsia" w:hAnsiTheme="minorEastAsia" w:cstheme="minorEastAsia"/>
          <w:i w:val="0"/>
          <w:iCs/>
          <w:color w:val="auto"/>
          <w:sz w:val="24"/>
          <w:szCs w:val="24"/>
          <w:highlight w:val="none"/>
          <w:u w:val="none"/>
          <w:lang w:val="en-US" w:eastAsia="zh-CN"/>
        </w:rPr>
        <w:t xml:space="preserve">告</w:t>
      </w:r>
      <w:r>
        <w:rPr>
          <w:rFonts w:hint="eastAsia" w:asciiTheme="minorEastAsia" w:hAnsiTheme="minorEastAsia" w:eastAsiaTheme="minorEastAsia" w:cstheme="minorEastAsia"/>
          <w:i w:val="0"/>
          <w:iCs/>
          <w:color w:val="auto"/>
          <w:sz w:val="24"/>
          <w:szCs w:val="24"/>
          <w:highlight w:val="none"/>
          <w:u w:val="none"/>
        </w:rPr>
        <w:t xml:space="preserve">（</w:t>
      </w:r>
      <w:r>
        <w:rPr>
          <w:rFonts w:hint="eastAsia" w:asciiTheme="minorEastAsia" w:hAnsiTheme="minorEastAsia" w:eastAsiaTheme="minorEastAsia" w:cstheme="minorEastAsia"/>
          <w:i w:val="0"/>
          <w:iCs/>
          <w:color w:val="auto"/>
          <w:sz w:val="24"/>
          <w:szCs w:val="24"/>
          <w:highlight w:val="none"/>
          <w:u w:val="none"/>
          <w:lang w:val="en-US" w:eastAsia="zh-CN"/>
        </w:rPr>
        <w:t xml:space="preserve">至少提供资产负债表、利润表、现金流量表，</w:t>
      </w:r>
      <w:r>
        <w:rPr>
          <w:rFonts w:hint="eastAsia" w:asciiTheme="minorEastAsia" w:hAnsiTheme="minorEastAsia" w:eastAsiaTheme="minorEastAsia" w:cstheme="minorEastAsia"/>
          <w:i w:val="0"/>
          <w:iCs/>
          <w:color w:val="auto"/>
          <w:sz w:val="24"/>
          <w:szCs w:val="24"/>
          <w:highlight w:val="none"/>
          <w:u w:val="none"/>
        </w:rPr>
        <w:t xml:space="preserve">磋商供应商成立不满一年无需提供）</w:t>
      </w:r>
      <w:r/>
    </w:p>
    <w:p>
      <w:pPr>
        <w:pStyle w:val="820"/>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、具备履行合同所必需的设备和专业技术能力的书面声明</w:t>
      </w:r>
      <w:r/>
    </w:p>
    <w:p>
      <w:pPr>
        <w:pStyle w:val="820"/>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四</w:t>
      </w:r>
      <w:r>
        <w:rPr>
          <w:rFonts w:hint="eastAsia" w:asciiTheme="minorEastAsia" w:hAnsiTheme="minorEastAsia" w:eastAsiaTheme="minorEastAsia" w:cstheme="minorEastAsia"/>
          <w:i w:val="0"/>
          <w:iCs/>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20"/>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五、参加政府采购活动前 3 年内在经营活动中没有重大违法记录的书面声明</w:t>
      </w:r>
      <w:r/>
    </w:p>
    <w:p>
      <w:pPr>
        <w:pStyle w:val="820"/>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六、特定资格要求的证明文件（如果本项目设置特定资格要求，则需要提供）</w:t>
      </w:r>
      <w:r/>
    </w:p>
    <w:p>
      <w:pPr>
        <w:pStyle w:val="820"/>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七、法人授权书</w:t>
      </w:r>
      <w:r/>
    </w:p>
    <w:p>
      <w:pPr>
        <w:pStyle w:val="820"/>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八、磋商响应函</w:t>
      </w:r>
      <w:r/>
    </w:p>
    <w:p>
      <w:pPr>
        <w:pStyle w:val="820"/>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九、</w:t>
      </w:r>
      <w:r>
        <w:rPr>
          <w:rFonts w:hint="eastAsia" w:asciiTheme="minorEastAsia" w:hAnsiTheme="minorEastAsia" w:eastAsiaTheme="minorEastAsia" w:cstheme="minorEastAsia"/>
          <w:i w:val="0"/>
          <w:iCs/>
          <w:color w:val="auto"/>
          <w:sz w:val="24"/>
          <w:szCs w:val="24"/>
          <w:highlight w:val="none"/>
          <w:u w:val="none"/>
          <w:lang w:val="en-US" w:eastAsia="zh-CN"/>
        </w:rPr>
        <w:t xml:space="preserve">中小</w:t>
      </w:r>
      <w:r>
        <w:rPr>
          <w:rFonts w:hint="eastAsia" w:asciiTheme="minorEastAsia" w:hAnsiTheme="minorEastAsia" w:eastAsiaTheme="minorEastAsia" w:cstheme="minorEastAsia"/>
          <w:i w:val="0"/>
          <w:iCs/>
          <w:color w:val="auto"/>
          <w:sz w:val="24"/>
          <w:szCs w:val="24"/>
          <w:highlight w:val="none"/>
          <w:u w:val="none"/>
        </w:rPr>
        <w:t xml:space="preserve">企业声明函</w:t>
      </w:r>
      <w:r/>
    </w:p>
    <w:p>
      <w:pPr>
        <w:pStyle w:val="820"/>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十、残疾人福利性单位声明函</w:t>
      </w:r>
      <w:r/>
    </w:p>
    <w:p>
      <w:pPr>
        <w:pStyle w:val="820"/>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十一、联合体协议</w:t>
      </w:r>
      <w:r/>
    </w:p>
    <w:p>
      <w:pPr>
        <w:pStyle w:val="820"/>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十二、分项报价表</w:t>
      </w:r>
      <w:r/>
    </w:p>
    <w:p>
      <w:pPr>
        <w:pStyle w:val="820"/>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十三、技术要求响应及偏离表</w:t>
      </w:r>
      <w:r/>
    </w:p>
    <w:p>
      <w:pPr>
        <w:pStyle w:val="820"/>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十四、商务要求响应及偏离表</w:t>
      </w:r>
      <w:r/>
    </w:p>
    <w:p>
      <w:pPr>
        <w:pStyle w:val="820"/>
        <w:ind w:left="480"/>
        <w:jc w:val="both"/>
        <w:spacing w:beforeAutospacing="0" w:afterAutospacing="0"/>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 xml:space="preserve">十五、开标一览表</w:t>
      </w:r>
      <w:r/>
    </w:p>
    <w:p>
      <w:pPr>
        <w:ind w:firstLine="480"/>
        <w:spacing w:before="50" w:after="50"/>
        <w:widowControl/>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lang w:val="en-US" w:eastAsia="zh-CN"/>
        </w:rPr>
        <w:t xml:space="preserve">六</w:t>
      </w:r>
      <w:r>
        <w:rPr>
          <w:rFonts w:hint="eastAsia" w:asciiTheme="minorEastAsia" w:hAnsiTheme="minorEastAsia" w:eastAsiaTheme="minorEastAsia" w:cstheme="minorEastAsia"/>
          <w:i w:val="0"/>
          <w:iCs/>
          <w:color w:val="auto"/>
          <w:sz w:val="24"/>
          <w:szCs w:val="24"/>
          <w:highlight w:val="none"/>
          <w:u w:val="none"/>
        </w:rPr>
        <w:t xml:space="preserve">、供应商认为需要提供的其他材料</w:t>
      </w:r>
      <w:r/>
    </w:p>
    <w:p>
      <w:pPr>
        <w:pStyle w:val="820"/>
        <w:ind w:firstLine="480"/>
        <w:jc w:val="both"/>
        <w:spacing w:beforeAutospacing="0" w:afterAutospacing="0" w:line="360" w:lineRule="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lang w:val="en-US" w:eastAsia="zh-CN"/>
        </w:rPr>
        <w:t xml:space="preserve">七</w:t>
      </w:r>
      <w:r>
        <w:rPr>
          <w:rFonts w:hint="eastAsia" w:asciiTheme="minorEastAsia" w:hAnsiTheme="minorEastAsia" w:eastAsiaTheme="minorEastAsia" w:cstheme="minorEastAsia"/>
          <w:i w:val="0"/>
          <w:iCs/>
          <w:color w:val="auto"/>
          <w:sz w:val="24"/>
          <w:szCs w:val="24"/>
          <w:highlight w:val="none"/>
          <w:u w:val="none"/>
        </w:rPr>
        <w:t xml:space="preserve">、</w:t>
      </w:r>
      <w:r>
        <w:rPr>
          <w:rFonts w:hint="eastAsia" w:asciiTheme="minorEastAsia" w:hAnsiTheme="minorEastAsia" w:cstheme="minorEastAsia"/>
          <w:i w:val="0"/>
          <w:iCs/>
          <w:color w:val="auto"/>
          <w:sz w:val="24"/>
          <w:szCs w:val="24"/>
          <w:highlight w:val="none"/>
          <w:u w:val="none"/>
          <w:lang w:val="en-US" w:eastAsia="zh-CN"/>
        </w:rPr>
        <w:t xml:space="preserve">响水县</w:t>
      </w:r>
      <w:r>
        <w:rPr>
          <w:rFonts w:hint="eastAsia" w:asciiTheme="minorEastAsia" w:hAnsiTheme="minorEastAsia" w:eastAsiaTheme="minorEastAsia" w:cstheme="minorEastAsia"/>
          <w:i w:val="0"/>
          <w:iCs/>
          <w:color w:val="auto"/>
          <w:sz w:val="24"/>
          <w:szCs w:val="24"/>
          <w:highlight w:val="none"/>
          <w:u w:val="none"/>
        </w:rPr>
        <w:t xml:space="preserve">政府采购事前信用承诺书</w:t>
      </w:r>
      <w:r/>
    </w:p>
    <w:p>
      <w:pPr>
        <w:pStyle w:val="82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2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2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2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2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2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2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2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20"/>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r>
      <w:r>
        <w:rPr>
          <w:rFonts w:hint="eastAsia" w:ascii="黑体" w:hAnsi="宋体" w:eastAsia="黑体" w:cs="黑体"/>
          <w:i/>
          <w:color w:val="auto"/>
          <w:sz w:val="32"/>
          <w:szCs w:val="32"/>
          <w:highlight w:val="none"/>
          <w:u w:val="single"/>
        </w:rPr>
      </w:r>
      <w:r/>
    </w:p>
    <w:p>
      <w:pPr>
        <w:pStyle w:val="820"/>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r/>
    </w:p>
    <w:p>
      <w:pPr>
        <w:pStyle w:val="820"/>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r/>
    </w:p>
    <w:p>
      <w:pPr>
        <w:pStyle w:val="820"/>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r/>
    </w:p>
    <w:p>
      <w:pPr>
        <w:pStyle w:val="820"/>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r/>
    </w:p>
    <w:p>
      <w:pPr>
        <w:pStyle w:val="820"/>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r/>
    </w:p>
    <w:p>
      <w:pPr>
        <w:pStyle w:val="820"/>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2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2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20"/>
        <w:ind w:firstLine="480"/>
        <w:jc w:val="both"/>
        <w:spacing w:beforeAutospacing="0" w:afterAutospacing="0" w:line="0" w:lineRule="atLeast"/>
        <w:rPr>
          <w:color w:val="auto"/>
          <w:highlight w:val="none"/>
        </w:rPr>
      </w:pPr>
      <w:r>
        <w:rPr>
          <w:color w:val="auto"/>
          <w:highlight w:val="none"/>
        </w:rPr>
        <w:t xml:space="preserve"> </w:t>
      </w:r>
      <w:r/>
    </w:p>
    <w:p>
      <w:pPr>
        <w:pStyle w:val="820"/>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820"/>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20"/>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20"/>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0"/>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820"/>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20"/>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2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20"/>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820"/>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2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20"/>
        <w:jc w:val="center"/>
        <w:spacing w:beforeAutospacing="0" w:afterAutospacing="0"/>
        <w:rPr>
          <w:rFonts w:ascii="黑体" w:hAnsi="宋体" w:eastAsia="黑体" w:cs="黑体"/>
          <w:i/>
          <w:color w:val="auto"/>
          <w:sz w:val="32"/>
          <w:szCs w:val="32"/>
          <w:highlight w:val="none"/>
          <w:u w:val="single"/>
        </w:rPr>
      </w:pPr>
      <w:r/>
      <w:bookmarkStart w:id="168" w:name="_Toc120614284"/>
      <w:r/>
      <w:r/>
    </w:p>
    <w:p>
      <w:pPr>
        <w:pStyle w:val="82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2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20"/>
        <w:jc w:val="center"/>
        <w:spacing w:beforeAutospacing="0" w:afterAutospacing="0" w:line="0" w:lineRule="atLeast"/>
        <w:rPr>
          <w:rFonts w:hint="eastAsia" w:ascii="黑体" w:hAnsi="宋体" w:eastAsia="黑体" w:cs="黑体"/>
          <w:b/>
          <w:bCs/>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rPr>
          <w:rFonts w:hint="eastAsia" w:ascii="黑体" w:hAnsi="宋体" w:eastAsia="黑体" w:cs="黑体"/>
          <w:b/>
          <w:color w:val="auto"/>
          <w:sz w:val="32"/>
          <w:szCs w:val="32"/>
          <w:highlight w:val="none"/>
          <w:lang w:val="en-US" w:eastAsia="zh-CN"/>
        </w:rPr>
      </w:r>
      <w:r/>
    </w:p>
    <w:p>
      <w:pPr>
        <w:pStyle w:val="820"/>
        <w:jc w:val="center"/>
        <w:spacing w:beforeAutospacing="0" w:afterAutospacing="0" w:line="0" w:lineRule="atLeast"/>
        <w:rPr>
          <w:rFonts w:hint="eastAsia" w:ascii="黑体" w:hAnsi="宋体" w:eastAsia="黑体" w:cs="黑体"/>
          <w:b/>
          <w:bCs/>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rPr>
          <w:rFonts w:hint="eastAsia" w:ascii="黑体" w:hAnsi="宋体" w:eastAsia="黑体" w:cs="黑体"/>
          <w:b/>
          <w:color w:val="auto"/>
          <w:sz w:val="32"/>
          <w:szCs w:val="32"/>
          <w:highlight w:val="none"/>
          <w:lang w:val="en-US" w:eastAsia="zh-CN"/>
        </w:rPr>
      </w:r>
      <w:r/>
    </w:p>
    <w:p>
      <w:pPr>
        <w:pStyle w:val="820"/>
        <w:jc w:val="center"/>
        <w:spacing w:beforeAutospacing="0" w:afterAutospacing="0" w:line="0" w:lineRule="atLeast"/>
        <w:rPr>
          <w:rFonts w:hint="eastAsia" w:ascii="黑体" w:hAnsi="宋体" w:eastAsia="黑体" w:cs="黑体"/>
          <w:b/>
          <w:bCs/>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rPr>
          <w:rFonts w:hint="eastAsia" w:ascii="黑体" w:hAnsi="宋体" w:eastAsia="黑体" w:cs="黑体"/>
          <w:b/>
          <w:color w:val="auto"/>
          <w:sz w:val="32"/>
          <w:szCs w:val="32"/>
          <w:highlight w:val="none"/>
          <w:lang w:val="en-US" w:eastAsia="zh-CN"/>
        </w:rPr>
      </w:r>
      <w:r/>
    </w:p>
    <w:p>
      <w:pPr>
        <w:pStyle w:val="820"/>
        <w:jc w:val="center"/>
        <w:spacing w:beforeAutospacing="0" w:afterAutospacing="0" w:line="0" w:lineRule="atLeast"/>
        <w:rPr>
          <w:rFonts w:hint="eastAsia" w:ascii="黑体" w:hAnsi="宋体" w:eastAsia="黑体" w:cs="黑体"/>
          <w:b/>
          <w:bCs/>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rPr>
          <w:rFonts w:hint="eastAsia" w:ascii="黑体" w:hAnsi="宋体" w:eastAsia="黑体" w:cs="黑体"/>
          <w:b/>
          <w:color w:val="auto"/>
          <w:sz w:val="32"/>
          <w:szCs w:val="32"/>
          <w:highlight w:val="none"/>
          <w:lang w:val="en-US" w:eastAsia="zh-CN"/>
        </w:rPr>
      </w:r>
      <w:r/>
    </w:p>
    <w:p>
      <w:pPr>
        <w:pStyle w:val="820"/>
        <w:jc w:val="center"/>
        <w:spacing w:beforeAutospacing="0" w:afterAutospacing="0" w:line="0" w:lineRule="atLeast"/>
        <w:rPr>
          <w:rFonts w:hint="eastAsia" w:ascii="黑体" w:hAnsi="宋体" w:eastAsia="黑体" w:cs="黑体"/>
          <w:b/>
          <w:bCs/>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rPr>
          <w:rFonts w:hint="eastAsia" w:ascii="黑体" w:hAnsi="宋体" w:eastAsia="黑体" w:cs="黑体"/>
          <w:b/>
          <w:color w:val="auto"/>
          <w:sz w:val="32"/>
          <w:szCs w:val="32"/>
          <w:highlight w:val="none"/>
          <w:lang w:val="en-US" w:eastAsia="zh-CN"/>
        </w:rPr>
      </w:r>
      <w:r/>
    </w:p>
    <w:p>
      <w:pPr>
        <w:pStyle w:val="820"/>
        <w:jc w:val="center"/>
        <w:spacing w:beforeAutospacing="0" w:afterAutospacing="0" w:line="0" w:lineRule="atLeast"/>
        <w:rPr>
          <w:rFonts w:hint="eastAsia" w:ascii="黑体" w:hAnsi="宋体" w:eastAsia="黑体" w:cs="黑体"/>
          <w:b/>
          <w:bCs/>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t xml:space="preserve">七、法人授权书</w:t>
      </w:r>
      <w:r/>
    </w:p>
    <w:p>
      <w:pPr>
        <w:pStyle w:val="820"/>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20"/>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2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2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20"/>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2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单位地址：</w:t>
      </w:r>
      <w:r>
        <w:rPr>
          <w:rFonts w:ascii="Times New Roman" w:hAnsi="Times New Roman"/>
          <w:color w:val="auto"/>
          <w:highlight w:val="none"/>
          <w:u w:val="single"/>
          <w:shd w:val="clear" w:color="auto" w:fill="auto"/>
        </w:rPr>
        <w:t xml:space="preserve">                                         </w:t>
      </w:r>
      <w:r/>
    </w:p>
    <w:p>
      <w:pPr>
        <w:pStyle w:val="82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日期：</w:t>
      </w:r>
      <w:bookmarkStart w:id="169" w:name="_Hlt26955070"/>
      <w:r/>
      <w:bookmarkStart w:id="170" w:name="_格式3__银行出具的资信证明"/>
      <w:r/>
      <w:bookmarkStart w:id="171" w:name="_Hlt26671380"/>
      <w:r>
        <w:rPr>
          <w:rFonts w:ascii="Times New Roman" w:hAnsi="Times New Roman"/>
          <w:color w:val="auto"/>
          <w:highlight w:val="none"/>
          <w:u w:val="single"/>
          <w:shd w:val="clear" w:color="auto" w:fill="auto"/>
        </w:rPr>
        <w:t xml:space="preserve">                                         </w:t>
      </w:r>
      <w:r/>
    </w:p>
    <w:p>
      <w:pPr>
        <w:pStyle w:val="820"/>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r>
      <w:r/>
    </w:p>
    <w:p>
      <w:pPr>
        <w:pStyle w:val="820"/>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820"/>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820"/>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center"/>
        <w:spacing w:beforeAutospacing="0" w:afterAutospacing="0" w:line="0" w:lineRule="atLeast"/>
        <w:rPr>
          <w:color w:val="auto"/>
          <w:highlight w:val="none"/>
        </w:rPr>
      </w:pPr>
      <w:r>
        <w:rPr>
          <w:rFonts w:hint="eastAsia" w:ascii="宋体" w:hAnsi="宋体" w:eastAsia="宋体" w:cs="宋体"/>
          <w:b/>
          <w:color w:val="auto"/>
          <w:highlight w:val="none"/>
        </w:rPr>
        <w:br w:type="page" w:clear="all"/>
      </w:r>
      <w:r>
        <w:rPr>
          <w:rFonts w:hint="eastAsia" w:ascii="黑体" w:hAnsi="宋体" w:eastAsia="黑体" w:cs="黑体"/>
          <w:b/>
          <w:color w:val="auto"/>
          <w:sz w:val="32"/>
          <w:szCs w:val="32"/>
          <w:highlight w:val="none"/>
          <w:lang w:val="en-US" w:eastAsia="zh-CN"/>
        </w:rPr>
        <w:t xml:space="preserve"> 八、磋商响应函</w:t>
      </w:r>
      <w:r/>
    </w:p>
    <w:p>
      <w:pPr>
        <w:pStyle w:val="820"/>
        <w:spacing w:beforeAutospacing="0" w:afterAutospacing="0" w:line="0" w:lineRule="atLeast"/>
        <w:rPr>
          <w:color w:val="auto"/>
          <w:highlight w:val="none"/>
        </w:rPr>
      </w:pPr>
      <w:r>
        <w:rPr>
          <w:rFonts w:hint="eastAsia" w:ascii="宋体" w:hAnsi="宋体" w:eastAsia="宋体" w:cs="宋体"/>
          <w:color w:val="auto"/>
          <w:highlight w:val="none"/>
        </w:rPr>
        <w:t xml:space="preserve">致：响水县自然资源和规划局</w:t>
      </w:r>
      <w:r/>
    </w:p>
    <w:p>
      <w:pPr>
        <w:pStyle w:val="820"/>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根据贵方的JSZC-320</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号磋商文件，正式授权下述签字人______(姓名)代表我方______________（供应商的名称），全权处理本次项目磋商的有关事宜。</w:t>
      </w:r>
      <w:r/>
    </w:p>
    <w:p>
      <w:pPr>
        <w:pStyle w:val="820"/>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20"/>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1.按磋商文件规定的各项要求，向买方提供所需货物、服务（包含与货物相关的服务及与服务相关的货物）。</w:t>
      </w:r>
      <w:r/>
    </w:p>
    <w:p>
      <w:pPr>
        <w:pStyle w:val="820"/>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820"/>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820"/>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820"/>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820"/>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820"/>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7.我方与本磋商有关的正式通讯地址为：</w:t>
      </w:r>
      <w:r/>
    </w:p>
    <w:p>
      <w:pPr>
        <w:pStyle w:val="820"/>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w:t>
      </w:r>
      <w:r>
        <w:rPr>
          <w:rFonts w:hint="eastAsia" w:ascii="宋体" w:hAnsi="宋体" w:eastAsia="宋体" w:cs="宋体"/>
          <w:color w:val="auto"/>
          <w:highlight w:val="none"/>
        </w:rPr>
        <w:t xml:space="preserve">址：</w:t>
      </w:r>
      <w:r/>
    </w:p>
    <w:p>
      <w:pPr>
        <w:pStyle w:val="820"/>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820"/>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话：</w:t>
      </w:r>
      <w:r/>
    </w:p>
    <w:p>
      <w:pPr>
        <w:pStyle w:val="820"/>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真：</w:t>
      </w:r>
      <w:r/>
    </w:p>
    <w:p>
      <w:pPr>
        <w:pStyle w:val="820"/>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供</w:t>
      </w:r>
      <w:r>
        <w:rPr>
          <w:rFonts w:hint="eastAsia" w:ascii="宋体" w:hAnsi="宋体" w:eastAsia="宋体" w:cs="宋体"/>
          <w:color w:val="auto"/>
          <w:highlight w:val="none"/>
        </w:rPr>
        <w:t xml:space="preserve">应</w:t>
      </w:r>
      <w:r>
        <w:rPr>
          <w:rFonts w:hint="eastAsia" w:ascii="宋体" w:hAnsi="宋体" w:eastAsia="宋体" w:cs="宋体"/>
          <w:color w:val="auto"/>
          <w:highlight w:val="none"/>
        </w:rPr>
        <w:t xml:space="preserve">商</w:t>
      </w:r>
      <w:r>
        <w:rPr>
          <w:rFonts w:hint="eastAsia" w:ascii="宋体" w:hAnsi="宋体" w:eastAsia="宋体" w:cs="宋体"/>
          <w:color w:val="auto"/>
          <w:highlight w:val="none"/>
        </w:rPr>
        <w:t xml:space="preserve">开</w:t>
      </w:r>
      <w:r>
        <w:rPr>
          <w:rFonts w:hint="eastAsia" w:ascii="宋体" w:hAnsi="宋体" w:eastAsia="宋体" w:cs="宋体"/>
          <w:color w:val="auto"/>
          <w:highlight w:val="none"/>
        </w:rPr>
        <w:t xml:space="preserve">户</w:t>
      </w:r>
      <w:r>
        <w:rPr>
          <w:rFonts w:hint="eastAsia" w:ascii="宋体" w:hAnsi="宋体" w:eastAsia="宋体" w:cs="宋体"/>
          <w:color w:val="auto"/>
          <w:highlight w:val="none"/>
        </w:rPr>
        <w:t xml:space="preserve">行：</w:t>
      </w:r>
      <w:r/>
    </w:p>
    <w:p>
      <w:pPr>
        <w:pStyle w:val="820"/>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号： </w:t>
      </w:r>
      <w:r/>
    </w:p>
    <w:p>
      <w:pPr>
        <w:pStyle w:val="820"/>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期：________年____月____日</w:t>
      </w:r>
      <w:r/>
    </w:p>
    <w:p>
      <w:pPr>
        <w:pStyle w:val="820"/>
        <w:ind w:firstLine="240"/>
        <w:jc w:val="center"/>
        <w:spacing w:beforeAutospacing="0" w:afterAutospacing="0" w:line="0" w:lineRule="atLeast"/>
        <w:rPr>
          <w:color w:val="auto"/>
          <w:highlight w:val="none"/>
        </w:rPr>
      </w:pPr>
      <w:r>
        <w:rPr>
          <w:color w:val="auto"/>
          <w:highlight w:val="none"/>
        </w:rPr>
        <w:t xml:space="preserve"> </w:t>
      </w:r>
      <w:r/>
    </w:p>
    <w:p>
      <w:pPr>
        <w:pStyle w:val="820"/>
        <w:ind w:firstLine="240"/>
        <w:jc w:val="center"/>
        <w:spacing w:beforeAutospacing="0" w:afterAutospacing="0" w:line="0" w:lineRule="atLeast"/>
        <w:rPr>
          <w:color w:val="auto"/>
          <w:highlight w:val="none"/>
        </w:rPr>
      </w:pPr>
      <w:r>
        <w:rPr>
          <w:color w:val="auto"/>
          <w:highlight w:val="none"/>
        </w:rPr>
      </w:r>
      <w:r/>
    </w:p>
    <w:p>
      <w:pPr>
        <w:pStyle w:val="820"/>
        <w:ind w:firstLine="240"/>
        <w:jc w:val="center"/>
        <w:spacing w:beforeAutospacing="0" w:afterAutospacing="0" w:line="0" w:lineRule="atLeast"/>
        <w:rPr>
          <w:color w:val="auto"/>
          <w:highlight w:val="none"/>
        </w:rPr>
      </w:pPr>
      <w:r>
        <w:rPr>
          <w:color w:val="auto"/>
          <w:highlight w:val="none"/>
        </w:rPr>
      </w:r>
      <w:r/>
    </w:p>
    <w:p>
      <w:pPr>
        <w:pStyle w:val="820"/>
        <w:ind w:firstLine="240"/>
        <w:jc w:val="center"/>
        <w:spacing w:beforeAutospacing="0" w:afterAutospacing="0" w:line="0" w:lineRule="atLeast"/>
        <w:rPr>
          <w:color w:val="auto"/>
          <w:highlight w:val="none"/>
        </w:rPr>
      </w:pPr>
      <w:r>
        <w:rPr>
          <w:color w:val="auto"/>
          <w:highlight w:val="none"/>
        </w:rPr>
      </w:r>
      <w:r/>
    </w:p>
    <w:p>
      <w:pPr>
        <w:pStyle w:val="820"/>
        <w:ind w:firstLine="240"/>
        <w:jc w:val="center"/>
        <w:spacing w:beforeAutospacing="0" w:afterAutospacing="0" w:line="0" w:lineRule="atLeast"/>
        <w:rPr>
          <w:color w:val="auto"/>
          <w:highlight w:val="none"/>
        </w:rPr>
      </w:pPr>
      <w:r>
        <w:rPr>
          <w:color w:val="auto"/>
          <w:highlight w:val="none"/>
        </w:rPr>
      </w:r>
      <w:r/>
    </w:p>
    <w:p>
      <w:pPr>
        <w:pStyle w:val="820"/>
        <w:ind w:firstLine="240"/>
        <w:jc w:val="center"/>
        <w:spacing w:beforeAutospacing="0" w:afterAutospacing="0" w:line="0" w:lineRule="atLeast"/>
        <w:rPr>
          <w:color w:val="auto"/>
          <w:highlight w:val="none"/>
        </w:rPr>
      </w:pPr>
      <w:r>
        <w:rPr>
          <w:color w:val="auto"/>
          <w:highlight w:val="none"/>
        </w:rPr>
      </w:r>
      <w:r/>
    </w:p>
    <w:p>
      <w:pPr>
        <w:pStyle w:val="820"/>
        <w:ind w:firstLine="240"/>
        <w:jc w:val="center"/>
        <w:spacing w:beforeAutospacing="0" w:afterAutospacing="0" w:line="0" w:lineRule="atLeast"/>
        <w:rPr>
          <w:color w:val="auto"/>
          <w:highlight w:val="none"/>
        </w:rPr>
      </w:pPr>
      <w:r>
        <w:rPr>
          <w:color w:val="auto"/>
          <w:highlight w:val="none"/>
        </w:rPr>
      </w:r>
      <w:r/>
    </w:p>
    <w:p>
      <w:pPr>
        <w:pStyle w:val="820"/>
        <w:ind w:firstLine="240"/>
        <w:jc w:val="center"/>
        <w:spacing w:beforeAutospacing="0" w:afterAutospacing="0" w:line="0" w:lineRule="atLeast"/>
        <w:rPr>
          <w:color w:val="auto"/>
          <w:highlight w:val="none"/>
        </w:rPr>
      </w:pPr>
      <w:r>
        <w:rPr>
          <w:color w:val="auto"/>
          <w:highlight w:val="none"/>
        </w:rPr>
      </w:r>
      <w:r/>
    </w:p>
    <w:p>
      <w:pPr>
        <w:pStyle w:val="820"/>
        <w:ind w:firstLine="240"/>
        <w:jc w:val="center"/>
        <w:spacing w:beforeAutospacing="0" w:afterAutospacing="0" w:line="0" w:lineRule="atLeast"/>
        <w:rPr>
          <w:color w:val="auto"/>
          <w:highlight w:val="none"/>
        </w:rPr>
      </w:pPr>
      <w:r>
        <w:rPr>
          <w:color w:val="auto"/>
          <w:highlight w:val="none"/>
        </w:rPr>
      </w:r>
      <w:r/>
    </w:p>
    <w:p>
      <w:pPr>
        <w:pStyle w:val="820"/>
        <w:ind w:firstLine="240"/>
        <w:jc w:val="center"/>
        <w:spacing w:beforeAutospacing="0" w:afterAutospacing="0" w:line="0" w:lineRule="atLeast"/>
        <w:rPr>
          <w:color w:val="auto"/>
          <w:highlight w:val="none"/>
        </w:rPr>
      </w:pPr>
      <w:r>
        <w:rPr>
          <w:color w:val="auto"/>
          <w:highlight w:val="none"/>
        </w:rPr>
      </w:r>
      <w:r/>
    </w:p>
    <w:p>
      <w:pPr>
        <w:pStyle w:val="820"/>
        <w:ind w:firstLine="240"/>
        <w:jc w:val="center"/>
        <w:spacing w:beforeAutospacing="0" w:afterAutospacing="0" w:line="0" w:lineRule="atLeast"/>
        <w:rPr>
          <w:color w:val="auto"/>
          <w:highlight w:val="none"/>
        </w:rPr>
      </w:pPr>
      <w:r>
        <w:rPr>
          <w:color w:val="auto"/>
          <w:highlight w:val="none"/>
        </w:rPr>
      </w:r>
      <w:r/>
    </w:p>
    <w:p>
      <w:pPr>
        <w:pStyle w:val="820"/>
        <w:ind w:firstLine="240"/>
        <w:jc w:val="center"/>
        <w:spacing w:beforeAutospacing="0" w:afterAutospacing="0" w:line="0" w:lineRule="atLeast"/>
        <w:rPr>
          <w:color w:val="auto"/>
          <w:highlight w:val="none"/>
        </w:rPr>
      </w:pPr>
      <w:r>
        <w:rPr>
          <w:color w:val="auto"/>
          <w:highlight w:val="none"/>
        </w:rPr>
      </w:r>
      <w:r/>
    </w:p>
    <w:p>
      <w:pPr>
        <w:pStyle w:val="820"/>
        <w:ind w:firstLine="240"/>
        <w:jc w:val="center"/>
        <w:spacing w:beforeAutospacing="0" w:afterAutospacing="0" w:line="0" w:lineRule="atLeast"/>
        <w:rPr>
          <w:color w:val="auto"/>
          <w:highlight w:val="none"/>
        </w:rPr>
      </w:pPr>
      <w:r>
        <w:rPr>
          <w:color w:val="auto"/>
          <w:highlight w:val="none"/>
        </w:rPr>
      </w:r>
      <w:r/>
    </w:p>
    <w:p>
      <w:pPr>
        <w:pStyle w:val="820"/>
        <w:ind w:firstLine="240"/>
        <w:jc w:val="center"/>
        <w:spacing w:beforeAutospacing="0" w:afterAutospacing="0" w:line="0" w:lineRule="atLeast"/>
        <w:rPr>
          <w:color w:val="auto"/>
          <w:highlight w:val="none"/>
        </w:rPr>
      </w:pPr>
      <w:r>
        <w:rPr>
          <w:color w:val="auto"/>
          <w:highlight w:val="none"/>
        </w:rPr>
      </w:r>
      <w:r/>
    </w:p>
    <w:p>
      <w:pPr>
        <w:pStyle w:val="820"/>
        <w:ind w:firstLine="240"/>
        <w:jc w:val="center"/>
        <w:spacing w:beforeAutospacing="0" w:afterAutospacing="0" w:line="0" w:lineRule="atLeast"/>
        <w:rPr>
          <w:color w:val="auto"/>
          <w:highlight w:val="none"/>
        </w:rPr>
      </w:pPr>
      <w:r>
        <w:rPr>
          <w:color w:val="auto"/>
          <w:highlight w:val="none"/>
        </w:rPr>
        <w:t xml:space="preserve"> </w:t>
      </w:r>
      <w:r/>
    </w:p>
    <w:p>
      <w:pPr>
        <w:pStyle w:val="820"/>
        <w:ind w:firstLine="240"/>
        <w:jc w:val="center"/>
        <w:spacing w:beforeAutospacing="0" w:afterAutospacing="0" w:line="0" w:lineRule="atLeast"/>
        <w:rPr>
          <w:color w:val="auto"/>
          <w:highlight w:val="none"/>
        </w:rPr>
      </w:pPr>
      <w:r>
        <w:rPr>
          <w:color w:val="auto"/>
          <w:highlight w:val="none"/>
        </w:rPr>
        <w:t xml:space="preserve"> </w:t>
      </w:r>
      <w:r/>
    </w:p>
    <w:p>
      <w:pPr>
        <w:pStyle w:val="820"/>
        <w:ind w:firstLine="240"/>
        <w:jc w:val="center"/>
        <w:spacing w:beforeAutospacing="0" w:afterAutospacing="0" w:line="0" w:lineRule="atLeast"/>
        <w:rPr>
          <w:color w:val="auto"/>
          <w:highlight w:val="none"/>
        </w:rPr>
      </w:pPr>
      <w:r>
        <w:rPr>
          <w:color w:val="auto"/>
          <w:highlight w:val="none"/>
        </w:rPr>
        <w:t xml:space="preserve"> </w:t>
      </w:r>
      <w:r/>
    </w:p>
    <w:p>
      <w:pPr>
        <w:pStyle w:val="820"/>
        <w:ind w:firstLine="240"/>
        <w:jc w:val="center"/>
        <w:spacing w:beforeAutospacing="0" w:afterAutospacing="0" w:line="0" w:lineRule="atLeast"/>
        <w:rPr>
          <w:color w:val="auto"/>
          <w:highlight w:val="none"/>
        </w:rPr>
      </w:pPr>
      <w:r>
        <w:rPr>
          <w:color w:val="auto"/>
          <w:highlight w:val="none"/>
        </w:rPr>
        <w:t xml:space="preserve"> </w:t>
      </w:r>
      <w:r/>
    </w:p>
    <w:p>
      <w:pPr>
        <w:pStyle w:val="820"/>
        <w:jc w:val="center"/>
        <w:spacing w:beforeAutospacing="0" w:afterAutospacing="0" w:line="0" w:lineRule="atLeast"/>
        <w:rPr>
          <w:color w:val="auto"/>
          <w:highlight w:val="none"/>
        </w:rPr>
      </w:pPr>
      <w:r>
        <w:rPr>
          <w:color w:val="auto"/>
          <w:highlight w:val="none"/>
        </w:rPr>
        <w:t xml:space="preserve"> </w:t>
      </w:r>
      <w:r/>
    </w:p>
    <w:p>
      <w:pPr>
        <w:pStyle w:val="820"/>
        <w:jc w:val="center"/>
        <w:spacing w:beforeAutospacing="0" w:afterAutospacing="0" w:line="0" w:lineRule="atLeast"/>
        <w:rPr>
          <w:color w:val="auto"/>
          <w:highlight w:val="none"/>
        </w:rPr>
      </w:pPr>
      <w:r>
        <w:rPr>
          <w:color w:val="auto"/>
          <w:highlight w:val="none"/>
        </w:rPr>
        <w:t xml:space="preserve"> </w:t>
      </w: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val="en-US" w:eastAsia="zh-CN"/>
        </w:rPr>
        <w:t xml:space="preserve">正中国际项目管理集团有限公司</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20"/>
        <w:ind w:right="720"/>
        <w:jc w:val="both"/>
        <w:spacing w:beforeAutospacing="0" w:afterAutospacing="0" w:line="0" w:lineRule="atLeast"/>
        <w:rPr>
          <w:color w:val="auto"/>
          <w:highlight w:val="none"/>
        </w:rPr>
      </w:pPr>
      <w:r>
        <w:rPr>
          <w:color w:val="auto"/>
          <w:highlight w:val="none"/>
        </w:rPr>
        <w:t xml:space="preserve"> </w:t>
      </w:r>
      <w:r/>
    </w:p>
    <w:p>
      <w:pPr>
        <w:pStyle w:val="820"/>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20"/>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20"/>
        <w:ind w:firstLine="240"/>
        <w:jc w:val="both"/>
        <w:spacing w:beforeAutospacing="0" w:afterAutospacing="0" w:line="0" w:lineRule="atLeast"/>
        <w:rPr>
          <w:color w:val="auto"/>
          <w:highlight w:val="none"/>
        </w:rPr>
      </w:pPr>
      <w:r>
        <w:rPr>
          <w:color w:val="auto"/>
          <w:highlight w:val="none"/>
        </w:rPr>
        <w:t xml:space="preserve"> </w:t>
      </w:r>
      <w:r/>
    </w:p>
    <w:p>
      <w:pPr>
        <w:pStyle w:val="82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2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2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82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82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20"/>
        <w:ind w:firstLine="480"/>
        <w:jc w:val="both"/>
        <w:spacing w:beforeAutospacing="0" w:afterAutospacing="0" w:line="0" w:lineRule="atLeast"/>
        <w:rPr>
          <w:color w:val="auto"/>
          <w:highlight w:val="none"/>
        </w:rPr>
      </w:pPr>
      <w:r>
        <w:rPr>
          <w:color w:val="auto"/>
          <w:highlight w:val="none"/>
        </w:rPr>
        <w:t xml:space="preserve"> </w:t>
      </w:r>
      <w:r/>
    </w:p>
    <w:p>
      <w:pPr>
        <w:pStyle w:val="82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。2、成交供应商为残疾人福利单位的，此声明函将随成交结果同时公告，接受社会监督）</w:t>
      </w:r>
      <w:r/>
    </w:p>
    <w:p>
      <w:pPr>
        <w:pStyle w:val="820"/>
        <w:ind w:firstLine="624"/>
        <w:jc w:val="both"/>
        <w:spacing w:beforeAutospacing="0" w:afterAutospacing="0" w:line="0" w:lineRule="atLeast"/>
        <w:rPr>
          <w:color w:val="auto"/>
          <w:highlight w:val="none"/>
        </w:rPr>
      </w:pPr>
      <w:r>
        <w:rPr>
          <w:color w:val="auto"/>
          <w:highlight w:val="none"/>
        </w:rPr>
        <w:t xml:space="preserve"> </w:t>
      </w:r>
      <w:r/>
    </w:p>
    <w:p>
      <w:pPr>
        <w:pStyle w:val="820"/>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20"/>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20"/>
        <w:jc w:val="center"/>
        <w:spacing w:beforeAutospacing="0" w:afterAutospacing="0" w:line="0" w:lineRule="atLeast"/>
        <w:rPr>
          <w:color w:val="auto"/>
          <w:highlight w:val="none"/>
        </w:rPr>
      </w:pPr>
      <w:r>
        <w:rPr>
          <w:color w:val="auto"/>
          <w:highlight w:val="none"/>
        </w:rPr>
        <w:t xml:space="preserve"> </w:t>
      </w:r>
      <w:r/>
    </w:p>
    <w:p>
      <w:pPr>
        <w:pStyle w:val="820"/>
        <w:jc w:val="center"/>
        <w:spacing w:beforeAutospacing="0" w:afterAutospacing="0" w:line="0" w:lineRule="atLeast"/>
        <w:rPr>
          <w:color w:val="auto"/>
          <w:highlight w:val="none"/>
        </w:rPr>
      </w:pPr>
      <w:r>
        <w:rPr>
          <w:color w:val="auto"/>
          <w:highlight w:val="none"/>
        </w:rPr>
        <w:t xml:space="preserve"> </w:t>
      </w:r>
      <w:r/>
    </w:p>
    <w:p>
      <w:pPr>
        <w:pStyle w:val="820"/>
        <w:jc w:val="center"/>
        <w:spacing w:beforeAutospacing="0" w:afterAutospacing="0" w:line="0" w:lineRule="atLeast"/>
        <w:rPr>
          <w:color w:val="auto"/>
          <w:highlight w:val="none"/>
        </w:rPr>
      </w:pPr>
      <w:r>
        <w:rPr>
          <w:color w:val="auto"/>
          <w:highlight w:val="none"/>
        </w:rPr>
        <w:t xml:space="preserve"> </w:t>
      </w:r>
      <w:r/>
    </w:p>
    <w:p>
      <w:pPr>
        <w:pStyle w:val="820"/>
        <w:jc w:val="center"/>
        <w:spacing w:beforeAutospacing="0" w:afterAutospacing="0" w:line="0" w:lineRule="atLeast"/>
        <w:rPr>
          <w:color w:val="auto"/>
          <w:highlight w:val="none"/>
        </w:rPr>
      </w:pPr>
      <w:r>
        <w:rPr>
          <w:color w:val="auto"/>
          <w:highlight w:val="none"/>
        </w:rPr>
        <w:t xml:space="preserve"> </w:t>
      </w:r>
      <w:r/>
    </w:p>
    <w:p>
      <w:pPr>
        <w:pStyle w:val="820"/>
        <w:jc w:val="center"/>
        <w:spacing w:beforeAutospacing="0" w:afterAutospacing="0" w:line="0" w:lineRule="atLeast"/>
        <w:rPr>
          <w:color w:val="auto"/>
          <w:highlight w:val="none"/>
        </w:rPr>
      </w:pPr>
      <w:r>
        <w:rPr>
          <w:color w:val="auto"/>
          <w:highlight w:val="none"/>
        </w:rPr>
        <w:t xml:space="preserve"> </w:t>
      </w:r>
      <w:r/>
    </w:p>
    <w:p>
      <w:pPr>
        <w:pStyle w:val="820"/>
        <w:jc w:val="center"/>
        <w:spacing w:beforeAutospacing="0" w:afterAutospacing="0" w:line="0" w:lineRule="atLeast"/>
        <w:rPr>
          <w:color w:val="auto"/>
          <w:highlight w:val="none"/>
        </w:rPr>
      </w:pPr>
      <w:r>
        <w:rPr>
          <w:color w:val="auto"/>
          <w:highlight w:val="none"/>
        </w:rPr>
        <w:t xml:space="preserve"> </w:t>
      </w:r>
      <w:r/>
    </w:p>
    <w:p>
      <w:pPr>
        <w:pStyle w:val="820"/>
        <w:jc w:val="center"/>
        <w:spacing w:beforeAutospacing="0" w:afterAutospacing="0" w:line="0" w:lineRule="atLeast"/>
        <w:rPr>
          <w:color w:val="auto"/>
          <w:highlight w:val="none"/>
        </w:rPr>
      </w:pPr>
      <w:r>
        <w:rPr>
          <w:color w:val="auto"/>
          <w:highlight w:val="none"/>
        </w:rPr>
        <w:t xml:space="preserve"> </w:t>
      </w:r>
      <w:r/>
    </w:p>
    <w:p>
      <w:pPr>
        <w:pStyle w:val="820"/>
        <w:jc w:val="center"/>
        <w:spacing w:beforeAutospacing="0" w:afterAutospacing="0" w:line="0" w:lineRule="atLeast"/>
        <w:rPr>
          <w:color w:val="auto"/>
          <w:highlight w:val="none"/>
        </w:rPr>
      </w:pPr>
      <w:r>
        <w:rPr>
          <w:color w:val="auto"/>
          <w:highlight w:val="none"/>
        </w:rPr>
        <w:t xml:space="preserve"> </w:t>
      </w:r>
      <w:r/>
    </w:p>
    <w:p>
      <w:pPr>
        <w:pStyle w:val="820"/>
        <w:jc w:val="center"/>
        <w:spacing w:beforeAutospacing="0" w:afterAutospacing="0" w:line="0" w:lineRule="atLeast"/>
        <w:rPr>
          <w:color w:val="auto"/>
          <w:highlight w:val="none"/>
        </w:rPr>
      </w:pPr>
      <w:r>
        <w:rPr>
          <w:color w:val="auto"/>
          <w:highlight w:val="none"/>
        </w:rPr>
        <w:t xml:space="preserve"> </w:t>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r>
      <w:r/>
    </w:p>
    <w:p>
      <w:pPr>
        <w:pStyle w:val="820"/>
        <w:jc w:val="center"/>
        <w:spacing w:beforeAutospacing="0" w:afterAutospacing="0" w:line="0" w:lineRule="atLeast"/>
        <w:rPr>
          <w:color w:val="auto"/>
          <w:highlight w:val="none"/>
        </w:rPr>
      </w:pPr>
      <w:r>
        <w:rPr>
          <w:color w:val="auto"/>
          <w:highlight w:val="none"/>
        </w:rPr>
        <w:t xml:space="preserve"> </w:t>
      </w:r>
      <w:r/>
    </w:p>
    <w:p>
      <w:pPr>
        <w:pStyle w:val="820"/>
        <w:jc w:val="center"/>
        <w:spacing w:beforeAutospacing="0" w:afterAutospacing="0" w:line="0" w:lineRule="atLeast"/>
        <w:rPr>
          <w:color w:val="auto"/>
          <w:highlight w:val="none"/>
        </w:rPr>
      </w:pPr>
      <w:r>
        <w:rPr>
          <w:color w:val="auto"/>
          <w:highlight w:val="none"/>
        </w:rPr>
        <w:t xml:space="preserve"> </w:t>
      </w:r>
      <w:r/>
    </w:p>
    <w:p>
      <w:pPr>
        <w:pStyle w:val="82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十一、联合体协议（参考格式）（分包号：**）</w:t>
      </w:r>
      <w:r/>
    </w:p>
    <w:p>
      <w:pPr>
        <w:pStyle w:val="82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820"/>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w:t>
      </w:r>
      <w:r>
        <w:rPr>
          <w:rFonts w:hint="eastAsia" w:ascii="宋体" w:hAnsi="宋体" w:eastAsia="宋体" w:cs="宋体"/>
          <w:color w:val="auto"/>
          <w:highlight w:val="none"/>
          <w:lang w:val="en-US" w:eastAsia="zh-CN"/>
        </w:rPr>
        <w:t xml:space="preserve">正中国际项目管理集团有限公司</w:t>
      </w:r>
      <w:r>
        <w:rPr>
          <w:rFonts w:hint="eastAsia" w:ascii="宋体" w:hAnsi="宋体" w:eastAsia="宋体" w:cs="宋体"/>
          <w:color w:val="auto"/>
          <w:highlight w:val="none"/>
        </w:rPr>
        <w:t xml:space="preserve">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820"/>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20"/>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0"/>
        <w:ind w:firstLine="645"/>
        <w:jc w:val="both"/>
        <w:spacing w:beforeAutospacing="0" w:afterAutospacing="0" w:line="0" w:lineRule="atLeast"/>
        <w:rPr>
          <w:color w:val="auto"/>
          <w:highlight w:val="none"/>
        </w:rPr>
      </w:pPr>
      <w:r>
        <w:rPr>
          <w:color w:val="auto"/>
          <w:highlight w:val="none"/>
        </w:rPr>
        <w:t xml:space="preserve"> </w:t>
      </w:r>
      <w:r/>
    </w:p>
    <w:p>
      <w:pPr>
        <w:pStyle w:val="820"/>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备注：本磋商文件中要求加盖CA电子公章的地方，仅需加盖牵头单位的CA电子公章。</w:t>
      </w:r>
      <w:r/>
    </w:p>
    <w:p>
      <w:pPr>
        <w:pStyle w:val="820"/>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820"/>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820"/>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日期：</w:t>
      </w:r>
      <w:r/>
    </w:p>
    <w:p>
      <w:pPr>
        <w:pStyle w:val="820"/>
        <w:ind w:firstLine="645"/>
        <w:jc w:val="both"/>
        <w:spacing w:beforeAutospacing="0" w:afterAutospacing="0" w:line="0" w:lineRule="atLeast"/>
        <w:rPr>
          <w:color w:val="auto"/>
          <w:highlight w:val="none"/>
        </w:rPr>
      </w:pPr>
      <w:r>
        <w:rPr>
          <w:color w:val="auto"/>
          <w:highlight w:val="none"/>
        </w:rPr>
        <w:t xml:space="preserve"> </w:t>
      </w:r>
      <w:r/>
    </w:p>
    <w:p>
      <w:pPr>
        <w:pStyle w:val="820"/>
        <w:jc w:val="both"/>
        <w:spacing w:beforeAutospacing="0" w:afterAutospacing="0" w:line="0" w:lineRule="atLeast"/>
        <w:rPr>
          <w:color w:val="auto"/>
          <w:highlight w:val="none"/>
        </w:rPr>
      </w:pPr>
      <w:r>
        <w:rPr>
          <w:color w:val="auto"/>
          <w:highlight w:val="none"/>
        </w:rPr>
        <w:t xml:space="preserve"> </w:t>
      </w:r>
      <w:r/>
    </w:p>
    <w:p>
      <w:pPr>
        <w:pStyle w:val="820"/>
        <w:jc w:val="both"/>
        <w:spacing w:beforeAutospacing="0" w:afterAutospacing="0" w:line="0" w:lineRule="atLeast"/>
        <w:rPr>
          <w:color w:val="auto"/>
          <w:highlight w:val="none"/>
        </w:rPr>
      </w:pPr>
      <w:r>
        <w:rPr>
          <w:color w:val="auto"/>
          <w:highlight w:val="none"/>
        </w:rPr>
        <w:t xml:space="preserve"> </w:t>
      </w:r>
      <w:r/>
    </w:p>
    <w:p>
      <w:pPr>
        <w:pStyle w:val="820"/>
        <w:jc w:val="both"/>
        <w:spacing w:beforeAutospacing="0" w:afterAutospacing="0" w:line="0" w:lineRule="atLeast"/>
        <w:rPr>
          <w:color w:val="auto"/>
          <w:highlight w:val="none"/>
        </w:rPr>
      </w:pPr>
      <w:r>
        <w:rPr>
          <w:color w:val="auto"/>
          <w:highlight w:val="none"/>
        </w:rPr>
        <w:t xml:space="preserve"> </w:t>
      </w:r>
      <w:r/>
    </w:p>
    <w:p>
      <w:pPr>
        <w:pStyle w:val="820"/>
        <w:jc w:val="both"/>
        <w:spacing w:beforeAutospacing="0" w:afterAutospacing="0" w:line="0" w:lineRule="atLeast"/>
        <w:rPr>
          <w:color w:val="auto"/>
          <w:highlight w:val="none"/>
        </w:rPr>
      </w:pPr>
      <w:r>
        <w:rPr>
          <w:color w:val="auto"/>
          <w:highlight w:val="none"/>
        </w:rPr>
        <w:t xml:space="preserve"> </w:t>
      </w:r>
      <w:r/>
    </w:p>
    <w:p>
      <w:pPr>
        <w:pStyle w:val="820"/>
        <w:jc w:val="both"/>
        <w:spacing w:beforeAutospacing="0" w:afterAutospacing="0" w:line="0" w:lineRule="atLeast"/>
        <w:rPr>
          <w:color w:val="auto"/>
          <w:highlight w:val="none"/>
        </w:rPr>
      </w:pPr>
      <w:r>
        <w:rPr>
          <w:color w:val="auto"/>
          <w:highlight w:val="none"/>
        </w:rPr>
        <w:t xml:space="preserve"> </w:t>
      </w:r>
      <w:r/>
    </w:p>
    <w:p>
      <w:pPr>
        <w:pStyle w:val="820"/>
        <w:jc w:val="both"/>
        <w:spacing w:beforeAutospacing="0" w:afterAutospacing="0" w:line="0" w:lineRule="atLeast"/>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r>
      <w:r>
        <w:rPr>
          <w:color w:val="auto"/>
          <w:highlight w:val="none"/>
        </w:rPr>
      </w:r>
      <w:r/>
    </w:p>
    <w:p>
      <w:pPr>
        <w:pStyle w:val="820"/>
        <w:jc w:val="both"/>
        <w:spacing w:beforeAutospacing="0" w:afterAutospacing="0"/>
        <w:rPr>
          <w:color w:val="auto"/>
          <w:highlight w:val="none"/>
        </w:rPr>
      </w:pPr>
      <w:r>
        <w:rPr>
          <w:color w:val="auto"/>
          <w:highlight w:val="none"/>
        </w:rPr>
      </w:r>
      <w:r>
        <w:rPr>
          <w:color w:val="auto"/>
          <w:highlight w:val="none"/>
        </w:rPr>
      </w:r>
      <w:r/>
    </w:p>
    <w:p>
      <w:pPr>
        <w:pStyle w:val="820"/>
        <w:jc w:val="both"/>
        <w:spacing w:beforeAutospacing="0" w:afterAutospacing="0"/>
        <w:rPr>
          <w:color w:val="auto"/>
          <w:highlight w:val="none"/>
        </w:rPr>
      </w:pPr>
      <w:r>
        <w:rPr>
          <w:color w:val="auto"/>
          <w:highlight w:val="none"/>
        </w:rPr>
        <w:t xml:space="preserve"> </w:t>
      </w:r>
      <w:r/>
    </w:p>
    <w:p>
      <w:pPr>
        <w:pStyle w:val="820"/>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十二、分项报价表（分包号：**）（服务类）</w:t>
      </w:r>
      <w:r/>
    </w:p>
    <w:tbl>
      <w:tblPr>
        <w:tblStyle w:val="813"/>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0"/>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2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0"/>
              <w:jc w:val="both"/>
              <w:spacing w:beforeAutospacing="0" w:afterAutospacing="0" w:line="0" w:lineRule="atLeast"/>
              <w:rPr>
                <w:color w:val="auto"/>
                <w:highlight w:val="none"/>
              </w:rPr>
            </w:pPr>
            <w:r>
              <w:rPr>
                <w:color w:val="auto"/>
                <w:highlight w:val="none"/>
              </w:rPr>
              <w:t xml:space="preserve"> </w:t>
            </w:r>
            <w:r/>
          </w:p>
        </w:tc>
      </w:tr>
    </w:tbl>
    <w:p>
      <w:pPr>
        <w:pStyle w:val="820"/>
        <w:jc w:val="both"/>
        <w:spacing w:beforeAutospacing="0" w:afterAutospacing="0"/>
        <w:rPr>
          <w:color w:val="auto"/>
          <w:highlight w:val="none"/>
          <w:shd w:val="clear" w:color="auto" w:fill="auto"/>
        </w:rPr>
      </w:pPr>
      <w:r>
        <w:rPr>
          <w:rFonts w:hint="eastAsia" w:ascii="宋体" w:hAnsi="宋体" w:eastAsia="宋体" w:cs="宋体"/>
          <w:color w:val="auto"/>
          <w:highlight w:val="none"/>
        </w:rPr>
        <w:t xml:space="preserve">备注： 磋商报价采用总承包方式，投标人的“总报价”应包括采购人需求的服务（包含与服务相关的产品）价格、质量保证费用、培训费用及售后服务费用，项</w:t>
      </w:r>
      <w:r>
        <w:rPr>
          <w:rFonts w:hint="eastAsia" w:ascii="宋体" w:hAnsi="宋体" w:eastAsia="宋体" w:cs="宋体"/>
          <w:color w:val="auto"/>
          <w:highlight w:val="none"/>
          <w:shd w:val="clear" w:color="auto" w:fill="auto"/>
        </w:rPr>
        <w:t xml:space="preserve">目在指定地点、环境交付、安装、调试、验收所需费用和所有相关税金费用及为完成整个项目所产生的</w:t>
      </w:r>
      <w:r>
        <w:rPr>
          <w:rFonts w:hint="eastAsia" w:ascii="宋体" w:hAnsi="宋体" w:eastAsia="宋体" w:cs="宋体"/>
          <w:color w:val="auto"/>
          <w:highlight w:val="none"/>
          <w:shd w:val="clear" w:color="auto" w:fill="auto"/>
          <w:lang w:eastAsia="zh-CN"/>
        </w:rPr>
        <w:t xml:space="preserve">其他所有</w:t>
      </w:r>
      <w:r>
        <w:rPr>
          <w:rFonts w:hint="eastAsia" w:ascii="宋体" w:hAnsi="宋体" w:eastAsia="宋体" w:cs="宋体"/>
          <w:color w:val="auto"/>
          <w:highlight w:val="none"/>
          <w:shd w:val="clear" w:color="auto" w:fill="auto"/>
        </w:rPr>
        <w:t xml:space="preserve">费用。</w:t>
      </w:r>
      <w:r/>
    </w:p>
    <w:p>
      <w:pPr>
        <w:pStyle w:val="8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20"/>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十三、技术要求响应及偏离表（分包号：**）</w:t>
      </w:r>
      <w:r/>
    </w:p>
    <w:tbl>
      <w:tblPr>
        <w:tblStyle w:val="81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rPr>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20"/>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r>
    </w:tbl>
    <w:p>
      <w:pPr>
        <w:pStyle w:val="820"/>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20"/>
        <w:jc w:val="center"/>
        <w:spacing w:beforeAutospacing="0" w:afterAutospacing="0"/>
        <w:rPr>
          <w:color w:val="auto"/>
          <w:highlight w:val="none"/>
        </w:rPr>
      </w:pPr>
      <w:r>
        <w:rPr>
          <w:color w:val="auto"/>
          <w:highlight w:val="none"/>
        </w:rPr>
        <w:t xml:space="preserve"> </w:t>
      </w:r>
      <w:r/>
    </w:p>
    <w:p>
      <w:pPr>
        <w:pStyle w:val="820"/>
        <w:jc w:val="center"/>
        <w:spacing w:beforeAutospacing="0" w:afterAutospacing="0"/>
        <w:rPr>
          <w:color w:val="auto"/>
          <w:highlight w:val="none"/>
        </w:rPr>
      </w:pPr>
      <w:r>
        <w:rPr>
          <w:color w:val="auto"/>
          <w:highlight w:val="none"/>
        </w:rPr>
        <w:t xml:space="preserve"> </w:t>
      </w:r>
      <w:r/>
    </w:p>
    <w:p>
      <w:pPr>
        <w:pStyle w:val="820"/>
        <w:jc w:val="center"/>
        <w:spacing w:beforeAutospacing="0" w:afterAutospacing="0"/>
        <w:rPr>
          <w:color w:val="auto"/>
          <w:highlight w:val="none"/>
        </w:rPr>
      </w:pPr>
      <w:r>
        <w:rPr>
          <w:color w:val="auto"/>
          <w:highlight w:val="none"/>
        </w:rPr>
        <w:t xml:space="preserve"> </w:t>
      </w:r>
      <w:r/>
    </w:p>
    <w:p>
      <w:pPr>
        <w:pStyle w:val="820"/>
        <w:jc w:val="center"/>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bookmarkStart w:id="172" w:name="_Hlt26955054"/>
      <w:r>
        <w:rPr>
          <w:rFonts w:hint="eastAsia" w:ascii="黑体" w:hAnsi="宋体" w:eastAsia="黑体" w:cs="黑体"/>
          <w:b/>
          <w:color w:val="auto"/>
          <w:sz w:val="32"/>
          <w:szCs w:val="32"/>
          <w:highlight w:val="none"/>
        </w:rPr>
        <w:br w:type="page" w:clear="all"/>
      </w:r>
      <w:r/>
    </w:p>
    <w:p>
      <w:pPr>
        <w:pStyle w:val="820"/>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十四、商务要求响应及偏离表（分包号：**）</w:t>
      </w:r>
      <w:r/>
    </w:p>
    <w:tbl>
      <w:tblPr>
        <w:tblStyle w:val="81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rPr>
                <w:color w:val="auto"/>
                <w:highlight w:val="none"/>
              </w:rPr>
            </w:pPr>
            <w:r/>
            <w:bookmarkStart w:id="173" w:name="_Hlt26955056"/>
            <w:r/>
            <w:bookmarkStart w:id="174" w:name="_Hlt26782999"/>
            <w:r/>
            <w:bookmarkStart w:id="175" w:name="_Hlt26609391"/>
            <w:r/>
            <w:bookmarkStart w:id="176" w:name="_Hlt26955064"/>
            <w:r/>
            <w:bookmarkStart w:id="177" w:name="_Hlt26580838"/>
            <w:r/>
            <w:bookmarkStart w:id="178" w:name="_Hlt26671343"/>
            <w:r/>
            <w:bookmarkStart w:id="179" w:name="_Hlt24879081"/>
            <w:r/>
            <w:bookmarkStart w:id="180" w:name="_Hlt26671372"/>
            <w:r>
              <w:rPr>
                <w:rFonts w:hint="eastAsia" w:ascii="宋体" w:hAnsi="宋体" w:eastAsia="宋体" w:cs="宋体"/>
                <w:color w:val="auto"/>
                <w:highlight w:val="none"/>
              </w:rPr>
              <w:t xml:space="preserve">序号</w:t>
            </w:r>
            <w:bookmarkEnd w:id="173"/>
            <w:r/>
            <w:bookmarkEnd w:id="174"/>
            <w:r/>
            <w:bookmarkEnd w:id="175"/>
            <w:r/>
            <w:bookmarkEnd w:id="176"/>
            <w:r/>
            <w:bookmarkEnd w:id="177"/>
            <w:r/>
            <w:bookmarkEnd w:id="178"/>
            <w:r/>
            <w:bookmarkEnd w:id="179"/>
            <w:r/>
            <w:bookmarkEnd w:id="18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rPr>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20"/>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rPr>
                <w:color w:val="auto"/>
                <w:highlight w:val="none"/>
              </w:rPr>
            </w:pPr>
            <w:r>
              <w:rPr>
                <w:color w:val="auto"/>
                <w:highlight w:val="none"/>
              </w:rPr>
              <w:t xml:space="preserve"> </w:t>
            </w:r>
            <w:r/>
          </w:p>
        </w:tc>
      </w:tr>
    </w:tbl>
    <w:p>
      <w:pPr>
        <w:pStyle w:val="820"/>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20"/>
        <w:jc w:val="both"/>
        <w:spacing w:beforeAutospacing="0" w:afterAutospacing="0" w:line="480" w:lineRule="auto"/>
        <w:rPr>
          <w:color w:val="auto"/>
          <w:highlight w:val="none"/>
        </w:rPr>
      </w:pPr>
      <w:r>
        <w:rPr>
          <w:color w:val="auto"/>
          <w:highlight w:val="none"/>
        </w:rPr>
        <w:t xml:space="preserve"> </w:t>
      </w:r>
      <w:r/>
    </w:p>
    <w:p>
      <w:pPr>
        <w:pStyle w:val="820"/>
        <w:jc w:val="both"/>
        <w:spacing w:beforeAutospacing="0" w:afterAutospacing="0" w:line="480" w:lineRule="auto"/>
        <w:rPr>
          <w:color w:val="auto"/>
          <w:highlight w:val="none"/>
        </w:rPr>
      </w:pPr>
      <w:r>
        <w:rPr>
          <w:color w:val="auto"/>
          <w:highlight w:val="none"/>
        </w:rPr>
        <w:t xml:space="preserve"> </w:t>
      </w:r>
      <w:r/>
    </w:p>
    <w:p>
      <w:pPr>
        <w:pStyle w:val="820"/>
        <w:jc w:val="center"/>
        <w:spacing w:beforeAutospacing="0" w:afterAutospacing="0"/>
        <w:rPr>
          <w:color w:val="auto"/>
          <w:highlight w:val="none"/>
        </w:rPr>
      </w:pPr>
      <w:r/>
      <w:bookmarkStart w:id="181" w:name="_Hlt26671374"/>
      <w:r/>
      <w:bookmarkStart w:id="182" w:name="_Hlt26609389"/>
      <w:r/>
      <w:bookmarkStart w:id="183" w:name="_Toc462564146"/>
      <w:r/>
      <w:bookmarkStart w:id="184" w:name="_Hlt26955066"/>
      <w:r/>
      <w:bookmarkStart w:id="185" w:name="_格式2__法定代表人授权书"/>
      <w:r>
        <w:rPr>
          <w:color w:val="auto"/>
          <w:highlight w:val="none"/>
        </w:rPr>
        <w:t xml:space="preserve"> </w:t>
      </w:r>
      <w:r/>
    </w:p>
    <w:p>
      <w:pPr>
        <w:pStyle w:val="820"/>
        <w:jc w:val="center"/>
        <w:spacing w:beforeAutospacing="0" w:afterAutospacing="0"/>
        <w:rPr>
          <w:color w:val="auto"/>
          <w:highlight w:val="none"/>
        </w:rPr>
      </w:pPr>
      <w:r>
        <w:rPr>
          <w:color w:val="auto"/>
          <w:highlight w:val="none"/>
        </w:rPr>
        <w:t xml:space="preserve"> </w:t>
      </w:r>
      <w:r/>
    </w:p>
    <w:p>
      <w:pPr>
        <w:pStyle w:val="820"/>
        <w:jc w:val="center"/>
        <w:spacing w:beforeAutospacing="0" w:afterAutospacing="0"/>
        <w:rPr>
          <w:color w:val="auto"/>
          <w:highlight w:val="none"/>
        </w:rPr>
      </w:pPr>
      <w:r>
        <w:rPr>
          <w:color w:val="auto"/>
          <w:highlight w:val="none"/>
        </w:rPr>
      </w:r>
      <w:r/>
    </w:p>
    <w:p>
      <w:pPr>
        <w:pStyle w:val="820"/>
        <w:jc w:val="center"/>
        <w:spacing w:beforeAutospacing="0" w:afterAutospacing="0"/>
        <w:rPr>
          <w:color w:val="auto"/>
          <w:highlight w:val="none"/>
        </w:rPr>
      </w:pPr>
      <w:r>
        <w:rPr>
          <w:color w:val="auto"/>
          <w:highlight w:val="none"/>
        </w:rPr>
      </w:r>
      <w:r/>
    </w:p>
    <w:p>
      <w:pPr>
        <w:pStyle w:val="820"/>
        <w:jc w:val="center"/>
        <w:spacing w:beforeAutospacing="0" w:afterAutospacing="0"/>
        <w:rPr>
          <w:color w:val="auto"/>
          <w:highlight w:val="none"/>
        </w:rPr>
      </w:pPr>
      <w:r>
        <w:rPr>
          <w:color w:val="auto"/>
          <w:highlight w:val="none"/>
        </w:rPr>
      </w:r>
      <w:r/>
    </w:p>
    <w:p>
      <w:pPr>
        <w:pStyle w:val="820"/>
        <w:jc w:val="center"/>
        <w:spacing w:beforeAutospacing="0" w:afterAutospacing="0"/>
        <w:rPr>
          <w:color w:val="auto"/>
          <w:highlight w:val="none"/>
        </w:rPr>
      </w:pPr>
      <w:r>
        <w:rPr>
          <w:color w:val="auto"/>
          <w:highlight w:val="none"/>
        </w:rPr>
      </w:r>
      <w:r/>
    </w:p>
    <w:p>
      <w:pPr>
        <w:pStyle w:val="820"/>
        <w:jc w:val="center"/>
        <w:spacing w:beforeAutospacing="0" w:afterAutospacing="0"/>
        <w:rPr>
          <w:color w:val="auto"/>
          <w:highlight w:val="none"/>
        </w:rPr>
      </w:pPr>
      <w:r>
        <w:rPr>
          <w:color w:val="auto"/>
          <w:highlight w:val="none"/>
        </w:rPr>
        <w:t xml:space="preserve"> </w:t>
      </w:r>
      <w:r/>
    </w:p>
    <w:p>
      <w:pPr>
        <w:pStyle w:val="820"/>
        <w:jc w:val="center"/>
        <w:spacing w:beforeAutospacing="0" w:afterAutospacing="0"/>
        <w:rPr>
          <w:color w:val="auto"/>
          <w:highlight w:val="none"/>
        </w:rPr>
      </w:pPr>
      <w:r>
        <w:rPr>
          <w:color w:val="auto"/>
          <w:highlight w:val="none"/>
        </w:rPr>
        <w:t xml:space="preserve"> </w:t>
      </w:r>
      <w:r/>
    </w:p>
    <w:p>
      <w:pPr>
        <w:pStyle w:val="820"/>
        <w:jc w:val="center"/>
        <w:spacing w:beforeAutospacing="0" w:afterAutospacing="0"/>
        <w:rPr>
          <w:color w:val="auto"/>
          <w:highlight w:val="none"/>
        </w:rPr>
      </w:pPr>
      <w:r>
        <w:rPr>
          <w:color w:val="auto"/>
          <w:highlight w:val="none"/>
        </w:rPr>
        <w:t xml:space="preserve"> </w:t>
      </w:r>
      <w:r/>
    </w:p>
    <w:p>
      <w:pPr>
        <w:pStyle w:val="820"/>
        <w:jc w:val="center"/>
        <w:spacing w:beforeAutospacing="0" w:afterAutospacing="0"/>
        <w:rPr>
          <w:color w:val="auto"/>
          <w:highlight w:val="none"/>
        </w:rPr>
      </w:pPr>
      <w:r>
        <w:rPr>
          <w:color w:val="auto"/>
          <w:highlight w:val="none"/>
        </w:rPr>
        <w:t xml:space="preserve"> </w:t>
      </w:r>
      <w:r/>
    </w:p>
    <w:p>
      <w:pPr>
        <w:pStyle w:val="820"/>
        <w:jc w:val="center"/>
        <w:spacing w:beforeAutospacing="0" w:afterAutospacing="0"/>
        <w:rPr>
          <w:color w:val="auto"/>
          <w:highlight w:val="none"/>
        </w:rPr>
      </w:pPr>
      <w:r>
        <w:rPr>
          <w:color w:val="auto"/>
          <w:highlight w:val="none"/>
        </w:rPr>
        <w:t xml:space="preserve"> </w:t>
      </w:r>
      <w:r/>
    </w:p>
    <w:p>
      <w:pPr>
        <w:pStyle w:val="820"/>
        <w:jc w:val="both"/>
        <w:spacing w:beforeAutospacing="0" w:afterAutospacing="0"/>
        <w:rPr>
          <w:color w:val="auto"/>
          <w:highlight w:val="none"/>
        </w:rPr>
      </w:pPr>
      <w:r>
        <w:rPr>
          <w:color w:val="auto"/>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820"/>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十五、开标一览表</w:t>
      </w:r>
      <w:r/>
    </w:p>
    <w:p>
      <w:pPr>
        <w:pStyle w:val="820"/>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20"/>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2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20"/>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81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0"/>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0"/>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0"/>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20"/>
        <w:jc w:val="both"/>
        <w:spacing w:beforeAutospacing="0" w:afterAutospacing="0"/>
        <w:rPr>
          <w:color w:val="auto"/>
          <w:highlight w:val="none"/>
        </w:rPr>
      </w:pPr>
      <w:r>
        <w:rPr>
          <w:color w:val="auto"/>
          <w:highlight w:val="none"/>
        </w:rPr>
        <w:t xml:space="preserve"> </w:t>
      </w:r>
      <w:r/>
    </w:p>
    <w:p>
      <w:pPr>
        <w:pStyle w:val="820"/>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both"/>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r/>
    </w:p>
    <w:p>
      <w:pPr>
        <w:jc w:val="both"/>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r/>
    </w:p>
    <w:p>
      <w:pPr>
        <w:jc w:val="both"/>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r/>
    </w:p>
    <w:p>
      <w:pPr>
        <w:jc w:val="both"/>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r/>
    </w:p>
    <w:p>
      <w:pPr>
        <w:jc w:val="both"/>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r/>
    </w:p>
    <w:p>
      <w:pPr>
        <w:jc w:val="both"/>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r/>
    </w:p>
    <w:p>
      <w:pPr>
        <w:jc w:val="both"/>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r/>
    </w:p>
    <w:p>
      <w:pPr>
        <w:jc w:val="both"/>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r/>
    </w:p>
    <w:p>
      <w:pPr>
        <w:jc w:val="both"/>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十六、供应商认为需要提供的其他材料</w:t>
      </w:r>
      <w:r/>
    </w:p>
    <w:p>
      <w:pPr>
        <w:pStyle w:val="820"/>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十七、响水县政府采购事前信用承诺书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w:t>
      </w:r>
      <w:r>
        <w:rPr>
          <w:rFonts w:hint="eastAsia" w:ascii="宋体" w:hAnsi="宋体" w:eastAsia="宋体" w:cs="宋体"/>
          <w:color w:val="auto"/>
          <w:sz w:val="24"/>
          <w:highlight w:val="none"/>
          <w:lang w:val="en-US" w:eastAsia="zh-CN"/>
        </w:rPr>
        <w:t xml:space="preserve">县</w:t>
      </w:r>
      <w:r>
        <w:rPr>
          <w:rFonts w:hint="eastAsia" w:ascii="宋体" w:hAnsi="宋体" w:eastAsia="宋体" w:cs="宋体"/>
          <w:color w:val="auto"/>
          <w:sz w:val="24"/>
          <w:highlight w:val="none"/>
        </w:rPr>
        <w:t xml:space="preserve">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820"/>
        <w:jc w:val="center"/>
        <w:spacing w:beforeAutospacing="0" w:afterAutospacing="0"/>
        <w:rPr>
          <w:color w:val="auto"/>
          <w:highlight w:val="none"/>
        </w:rPr>
      </w:pPr>
      <w:r>
        <w:rPr>
          <w:color w:val="auto"/>
          <w:highlight w:val="none"/>
        </w:rPr>
      </w:r>
      <w:r>
        <w:rPr>
          <w:color w:val="auto"/>
          <w:highlight w:val="none"/>
        </w:rPr>
      </w:r>
      <w:r/>
    </w:p>
    <w:p>
      <w:pPr>
        <w:pStyle w:val="820"/>
        <w:jc w:val="center"/>
        <w:spacing w:beforeAutospacing="0" w:afterAutospacing="0"/>
        <w:rPr>
          <w:color w:val="auto"/>
          <w:highlight w:val="none"/>
        </w:rPr>
      </w:pPr>
      <w:r>
        <w:rPr>
          <w:color w:val="auto"/>
          <w:highlight w:val="none"/>
        </w:rPr>
      </w:r>
      <w:r>
        <w:rPr>
          <w:color w:val="auto"/>
          <w:highlight w:val="none"/>
        </w:rPr>
      </w:r>
      <w:r/>
    </w:p>
    <w:p>
      <w:pPr>
        <w:pStyle w:val="820"/>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pStyle w:val="82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20"/>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2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8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2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2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2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2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2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2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2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20"/>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820"/>
        <w:ind w:firstLine="420"/>
        <w:jc w:val="both"/>
        <w:spacing w:beforeAutospacing="0" w:afterAutospacing="0"/>
        <w:rPr>
          <w:color w:val="auto"/>
          <w:highlight w:val="none"/>
        </w:rPr>
      </w:pPr>
      <w:r>
        <w:rPr>
          <w:color w:val="auto"/>
          <w:highlight w:val="none"/>
        </w:rPr>
        <w:t xml:space="preserve"> </w:t>
      </w:r>
      <w:bookmarkEnd w:id="6"/>
      <w:r/>
      <w:bookmarkEnd w:id="38"/>
      <w:r/>
      <w:bookmarkEnd w:id="85"/>
      <w:r/>
      <w:bookmarkEnd w:id="86"/>
      <w:r/>
      <w:bookmarkEnd w:id="87"/>
      <w:r/>
      <w:bookmarkEnd w:id="88"/>
      <w:r/>
      <w:bookmarkEnd w:id="89"/>
      <w:r/>
      <w:bookmarkEnd w:id="90"/>
      <w:r/>
      <w:bookmarkEnd w:id="91"/>
      <w:r/>
      <w:bookmarkEnd w:id="92"/>
      <w:r/>
      <w:bookmarkEnd w:id="101"/>
      <w:r/>
      <w:bookmarkEnd w:id="102"/>
      <w:r/>
      <w:bookmarkEnd w:id="109"/>
      <w:r/>
      <w:bookmarkEnd w:id="158"/>
      <w:r/>
      <w:bookmarkEnd w:id="159"/>
      <w:r/>
      <w:bookmarkEnd w:id="165"/>
      <w:r/>
      <w:bookmarkEnd w:id="166"/>
      <w:r/>
      <w:bookmarkEnd w:id="167"/>
      <w:r/>
      <w:bookmarkEnd w:id="168"/>
      <w:r/>
      <w:bookmarkEnd w:id="169"/>
      <w:r/>
      <w:bookmarkEnd w:id="170"/>
      <w:r/>
      <w:bookmarkEnd w:id="171"/>
      <w:r/>
      <w:bookmarkEnd w:id="172"/>
      <w:r/>
      <w:bookmarkEnd w:id="181"/>
      <w:r/>
      <w:bookmarkEnd w:id="182"/>
      <w:r/>
      <w:bookmarkEnd w:id="183"/>
      <w:r/>
      <w:bookmarkEnd w:id="184"/>
      <w:r/>
      <w:bookmarkEnd w:id="185"/>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libri">
    <w:panose1 w:val="020F0502020204030204"/>
  </w:font>
  <w:font w:name="楷体_GB2312">
    <w:panose1 w:val="02010609060101010101"/>
  </w:font>
  <w:font w:name="仿宋_GB2312">
    <w:panose1 w:val="02010609060101010101"/>
  </w:font>
  <w:font w:name="黑体">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36">
    <w:name w:val="Heading 1 Char"/>
    <w:basedOn w:val="812"/>
    <w:link w:val="810"/>
    <w:uiPriority w:val="9"/>
    <w:rPr>
      <w:rFonts w:ascii="Arial" w:hAnsi="Arial" w:eastAsia="Arial" w:cs="Arial"/>
      <w:sz w:val="40"/>
      <w:szCs w:val="40"/>
    </w:rPr>
  </w:style>
  <w:style w:type="character" w:styleId="637">
    <w:name w:val="Heading 2 Char"/>
    <w:basedOn w:val="812"/>
    <w:link w:val="811"/>
    <w:uiPriority w:val="9"/>
    <w:rPr>
      <w:rFonts w:ascii="Arial" w:hAnsi="Arial" w:eastAsia="Arial" w:cs="Arial"/>
      <w:sz w:val="34"/>
    </w:rPr>
  </w:style>
  <w:style w:type="paragraph" w:styleId="638">
    <w:name w:val="Heading 3"/>
    <w:basedOn w:val="809"/>
    <w:next w:val="809"/>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basedOn w:val="812"/>
    <w:link w:val="638"/>
    <w:uiPriority w:val="9"/>
    <w:rPr>
      <w:rFonts w:ascii="Arial" w:hAnsi="Arial" w:eastAsia="Arial" w:cs="Arial"/>
      <w:sz w:val="30"/>
      <w:szCs w:val="30"/>
    </w:rPr>
  </w:style>
  <w:style w:type="paragraph" w:styleId="640">
    <w:name w:val="Heading 4"/>
    <w:basedOn w:val="809"/>
    <w:next w:val="809"/>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basedOn w:val="812"/>
    <w:link w:val="640"/>
    <w:uiPriority w:val="9"/>
    <w:rPr>
      <w:rFonts w:ascii="Arial" w:hAnsi="Arial" w:eastAsia="Arial" w:cs="Arial"/>
      <w:b/>
      <w:bCs/>
      <w:sz w:val="26"/>
      <w:szCs w:val="26"/>
    </w:rPr>
  </w:style>
  <w:style w:type="paragraph" w:styleId="642">
    <w:name w:val="Heading 5"/>
    <w:basedOn w:val="809"/>
    <w:next w:val="809"/>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basedOn w:val="812"/>
    <w:link w:val="642"/>
    <w:uiPriority w:val="9"/>
    <w:rPr>
      <w:rFonts w:ascii="Arial" w:hAnsi="Arial" w:eastAsia="Arial" w:cs="Arial"/>
      <w:b/>
      <w:bCs/>
      <w:sz w:val="24"/>
      <w:szCs w:val="24"/>
    </w:rPr>
  </w:style>
  <w:style w:type="paragraph" w:styleId="644">
    <w:name w:val="Heading 6"/>
    <w:basedOn w:val="809"/>
    <w:next w:val="809"/>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basedOn w:val="812"/>
    <w:link w:val="644"/>
    <w:uiPriority w:val="9"/>
    <w:rPr>
      <w:rFonts w:ascii="Arial" w:hAnsi="Arial" w:eastAsia="Arial" w:cs="Arial"/>
      <w:b/>
      <w:bCs/>
      <w:sz w:val="22"/>
      <w:szCs w:val="22"/>
    </w:rPr>
  </w:style>
  <w:style w:type="paragraph" w:styleId="646">
    <w:name w:val="Heading 7"/>
    <w:basedOn w:val="809"/>
    <w:next w:val="809"/>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basedOn w:val="812"/>
    <w:link w:val="646"/>
    <w:uiPriority w:val="9"/>
    <w:rPr>
      <w:rFonts w:ascii="Arial" w:hAnsi="Arial" w:eastAsia="Arial" w:cs="Arial"/>
      <w:b/>
      <w:bCs/>
      <w:i/>
      <w:iCs/>
      <w:sz w:val="22"/>
      <w:szCs w:val="22"/>
    </w:rPr>
  </w:style>
  <w:style w:type="paragraph" w:styleId="648">
    <w:name w:val="Heading 8"/>
    <w:basedOn w:val="809"/>
    <w:next w:val="809"/>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basedOn w:val="812"/>
    <w:link w:val="648"/>
    <w:uiPriority w:val="9"/>
    <w:rPr>
      <w:rFonts w:ascii="Arial" w:hAnsi="Arial" w:eastAsia="Arial" w:cs="Arial"/>
      <w:i/>
      <w:iCs/>
      <w:sz w:val="22"/>
      <w:szCs w:val="22"/>
    </w:rPr>
  </w:style>
  <w:style w:type="paragraph" w:styleId="650">
    <w:name w:val="Heading 9"/>
    <w:basedOn w:val="809"/>
    <w:next w:val="80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basedOn w:val="812"/>
    <w:link w:val="650"/>
    <w:uiPriority w:val="9"/>
    <w:rPr>
      <w:rFonts w:ascii="Arial" w:hAnsi="Arial" w:eastAsia="Arial" w:cs="Arial"/>
      <w:i/>
      <w:iCs/>
      <w:sz w:val="21"/>
      <w:szCs w:val="21"/>
    </w:rPr>
  </w:style>
  <w:style w:type="paragraph" w:styleId="652">
    <w:name w:val="List Paragraph"/>
    <w:basedOn w:val="809"/>
    <w:uiPriority w:val="34"/>
    <w:qFormat/>
    <w:pPr>
      <w:contextualSpacing/>
      <w:ind w:left="720"/>
    </w:pPr>
  </w:style>
  <w:style w:type="paragraph" w:styleId="653">
    <w:name w:val="No Spacing"/>
    <w:uiPriority w:val="1"/>
    <w:qFormat/>
    <w:pPr>
      <w:spacing w:before="0" w:after="0" w:line="240" w:lineRule="auto"/>
    </w:pPr>
  </w:style>
  <w:style w:type="paragraph" w:styleId="654">
    <w:name w:val="Title"/>
    <w:basedOn w:val="809"/>
    <w:next w:val="809"/>
    <w:link w:val="655"/>
    <w:uiPriority w:val="10"/>
    <w:qFormat/>
    <w:pPr>
      <w:contextualSpacing/>
      <w:spacing w:before="300" w:after="200"/>
    </w:pPr>
    <w:rPr>
      <w:sz w:val="48"/>
      <w:szCs w:val="48"/>
    </w:rPr>
  </w:style>
  <w:style w:type="character" w:styleId="655">
    <w:name w:val="Title Char"/>
    <w:basedOn w:val="812"/>
    <w:link w:val="654"/>
    <w:uiPriority w:val="10"/>
    <w:rPr>
      <w:sz w:val="48"/>
      <w:szCs w:val="48"/>
    </w:rPr>
  </w:style>
  <w:style w:type="paragraph" w:styleId="656">
    <w:name w:val="Subtitle"/>
    <w:basedOn w:val="809"/>
    <w:next w:val="809"/>
    <w:link w:val="657"/>
    <w:uiPriority w:val="11"/>
    <w:qFormat/>
    <w:pPr>
      <w:spacing w:before="200" w:after="200"/>
    </w:pPr>
    <w:rPr>
      <w:sz w:val="24"/>
      <w:szCs w:val="24"/>
    </w:rPr>
  </w:style>
  <w:style w:type="character" w:styleId="657">
    <w:name w:val="Subtitle Char"/>
    <w:basedOn w:val="812"/>
    <w:link w:val="656"/>
    <w:uiPriority w:val="11"/>
    <w:rPr>
      <w:sz w:val="24"/>
      <w:szCs w:val="24"/>
    </w:rPr>
  </w:style>
  <w:style w:type="paragraph" w:styleId="658">
    <w:name w:val="Quote"/>
    <w:basedOn w:val="809"/>
    <w:next w:val="809"/>
    <w:link w:val="659"/>
    <w:uiPriority w:val="29"/>
    <w:qFormat/>
    <w:pPr>
      <w:ind w:left="720" w:right="720"/>
    </w:pPr>
    <w:rPr>
      <w:i/>
    </w:rPr>
  </w:style>
  <w:style w:type="character" w:styleId="659">
    <w:name w:val="Quote Char"/>
    <w:link w:val="658"/>
    <w:uiPriority w:val="29"/>
    <w:rPr>
      <w:i/>
    </w:rPr>
  </w:style>
  <w:style w:type="paragraph" w:styleId="660">
    <w:name w:val="Intense Quote"/>
    <w:basedOn w:val="809"/>
    <w:next w:val="809"/>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character" w:styleId="662">
    <w:name w:val="Header Char"/>
    <w:basedOn w:val="812"/>
    <w:link w:val="819"/>
    <w:uiPriority w:val="99"/>
  </w:style>
  <w:style w:type="character" w:styleId="663">
    <w:name w:val="Footer Char"/>
    <w:basedOn w:val="812"/>
    <w:link w:val="818"/>
    <w:uiPriority w:val="99"/>
  </w:style>
  <w:style w:type="paragraph" w:styleId="664">
    <w:name w:val="Caption"/>
    <w:basedOn w:val="809"/>
    <w:next w:val="809"/>
    <w:uiPriority w:val="35"/>
    <w:semiHidden/>
    <w:unhideWhenUsed/>
    <w:qFormat/>
    <w:pPr>
      <w:spacing w:line="276" w:lineRule="auto"/>
    </w:pPr>
    <w:rPr>
      <w:b/>
      <w:bCs/>
      <w:color w:val="4f81bd" w:themeColor="accent1"/>
      <w:sz w:val="18"/>
      <w:szCs w:val="18"/>
    </w:rPr>
  </w:style>
  <w:style w:type="character" w:styleId="665">
    <w:name w:val="Caption Char"/>
    <w:basedOn w:val="664"/>
    <w:link w:val="818"/>
    <w:uiPriority w:val="99"/>
  </w:style>
  <w:style w:type="table" w:styleId="666">
    <w:name w:val="Table Grid Light"/>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7">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8">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0">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1">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2">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3">
    <w:name w:val="Grid Table 1 Light - Accent 1"/>
    <w:basedOn w:val="8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4">
    <w:name w:val="Grid Table 1 Light - Accent 2"/>
    <w:basedOn w:val="8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5">
    <w:name w:val="Grid Table 1 Light - Accent 3"/>
    <w:basedOn w:val="8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6">
    <w:name w:val="Grid Table 1 Light - Accent 4"/>
    <w:basedOn w:val="8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7">
    <w:name w:val="Grid Table 1 Light - Accent 5"/>
    <w:basedOn w:val="8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8">
    <w:name w:val="Grid Table 1 Light - Accent 6"/>
    <w:basedOn w:val="8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79">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0">
    <w:name w:val="Grid Table 2 - Accent 1"/>
    <w:basedOn w:val="8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1">
    <w:name w:val="Grid Table 2 - Accent 2"/>
    <w:basedOn w:val="8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2">
    <w:name w:val="Grid Table 2 - Accent 3"/>
    <w:basedOn w:val="8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3">
    <w:name w:val="Grid Table 2 - Accent 4"/>
    <w:basedOn w:val="8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4">
    <w:name w:val="Grid Table 2 - Accent 5"/>
    <w:basedOn w:val="8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5">
    <w:name w:val="Grid Table 2 - Accent 6"/>
    <w:basedOn w:val="8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6">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7">
    <w:name w:val="Grid Table 3 - Accent 1"/>
    <w:basedOn w:val="8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3 - Accent 2"/>
    <w:basedOn w:val="8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3"/>
    <w:basedOn w:val="8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4"/>
    <w:basedOn w:val="8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5"/>
    <w:basedOn w:val="8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6"/>
    <w:basedOn w:val="8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4">
    <w:name w:val="Grid Table 4 - Accent 1"/>
    <w:basedOn w:val="8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5">
    <w:name w:val="Grid Table 4 - Accent 2"/>
    <w:basedOn w:val="8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6">
    <w:name w:val="Grid Table 4 - Accent 3"/>
    <w:basedOn w:val="8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7">
    <w:name w:val="Grid Table 4 - Accent 4"/>
    <w:basedOn w:val="8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8">
    <w:name w:val="Grid Table 4 - Accent 5"/>
    <w:basedOn w:val="8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99">
    <w:name w:val="Grid Table 4 - Accent 6"/>
    <w:basedOn w:val="8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0">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5 Dark- Accent 1"/>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2">
    <w:name w:val="Grid Table 5 Dark - Accent 2"/>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3">
    <w:name w:val="Grid Table 5 Dark - Accent 3"/>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4">
    <w:name w:val="Grid Table 5 Dark- Accent 4"/>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5">
    <w:name w:val="Grid Table 5 Dark - Accent 5"/>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6">
    <w:name w:val="Grid Table 5 Dark - Accent 6"/>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07">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8">
    <w:name w:val="Grid Table 6 Colorful - Accent 1"/>
    <w:basedOn w:val="8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09">
    <w:name w:val="Grid Table 6 Colorful - Accent 2"/>
    <w:basedOn w:val="8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0">
    <w:name w:val="Grid Table 6 Colorful - Accent 3"/>
    <w:basedOn w:val="8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1">
    <w:name w:val="Grid Table 6 Colorful - Accent 4"/>
    <w:basedOn w:val="8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2">
    <w:name w:val="Grid Table 6 Colorful - Accent 5"/>
    <w:basedOn w:val="8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3">
    <w:name w:val="Grid Table 6 Colorful - Accent 6"/>
    <w:basedOn w:val="8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4">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Grid Table 7 Colorful - Accent 1"/>
    <w:basedOn w:val="8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6">
    <w:name w:val="Grid Table 7 Colorful - Accent 2"/>
    <w:basedOn w:val="8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7 Colorful - Accent 3"/>
    <w:basedOn w:val="8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7 Colorful - Accent 4"/>
    <w:basedOn w:val="8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7 Colorful - Accent 5"/>
    <w:basedOn w:val="8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0">
    <w:name w:val="Grid Table 7 Colorful - Accent 6"/>
    <w:basedOn w:val="8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1">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name w:val="List Table 1 Light - Accent 1"/>
    <w:basedOn w:val="81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3">
    <w:name w:val="List Table 1 Light - Accent 2"/>
    <w:basedOn w:val="81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4">
    <w:name w:val="List Table 1 Light - Accent 3"/>
    <w:basedOn w:val="81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5">
    <w:name w:val="List Table 1 Light - Accent 4"/>
    <w:basedOn w:val="81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6">
    <w:name w:val="List Table 1 Light - Accent 5"/>
    <w:basedOn w:val="81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7">
    <w:name w:val="List Table 1 Light - Accent 6"/>
    <w:basedOn w:val="81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8">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9">
    <w:name w:val="List Table 2 - Accent 1"/>
    <w:basedOn w:val="8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0">
    <w:name w:val="List Table 2 - Accent 2"/>
    <w:basedOn w:val="8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1">
    <w:name w:val="List Table 2 - Accent 3"/>
    <w:basedOn w:val="8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2">
    <w:name w:val="List Table 2 - Accent 4"/>
    <w:basedOn w:val="8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3">
    <w:name w:val="List Table 2 - Accent 5"/>
    <w:basedOn w:val="8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4">
    <w:name w:val="List Table 2 - Accent 6"/>
    <w:basedOn w:val="8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5">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3 - Accent 1"/>
    <w:basedOn w:val="8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37">
    <w:name w:val="List Table 3 - Accent 2"/>
    <w:basedOn w:val="8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38">
    <w:name w:val="List Table 3 - Accent 3"/>
    <w:basedOn w:val="8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39">
    <w:name w:val="List Table 3 - Accent 4"/>
    <w:basedOn w:val="8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0">
    <w:name w:val="List Table 3 - Accent 5"/>
    <w:basedOn w:val="8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1">
    <w:name w:val="List Table 3 - Accent 6"/>
    <w:basedOn w:val="8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2">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 Accent 1"/>
    <w:basedOn w:val="8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4">
    <w:name w:val="List Table 4 - Accent 2"/>
    <w:basedOn w:val="8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5">
    <w:name w:val="List Table 4 - Accent 3"/>
    <w:basedOn w:val="8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6">
    <w:name w:val="List Table 4 - Accent 4"/>
    <w:basedOn w:val="8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47">
    <w:name w:val="List Table 4 - Accent 5"/>
    <w:basedOn w:val="8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48">
    <w:name w:val="List Table 4 - Accent 6"/>
    <w:basedOn w:val="8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49">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5 Dark - Accent 1"/>
    <w:basedOn w:val="8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5 Dark - Accent 2"/>
    <w:basedOn w:val="8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3"/>
    <w:basedOn w:val="8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4"/>
    <w:basedOn w:val="8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5"/>
    <w:basedOn w:val="8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6"/>
    <w:basedOn w:val="8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7">
    <w:name w:val="List Table 6 Colorful - Accent 1"/>
    <w:basedOn w:val="8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58">
    <w:name w:val="List Table 6 Colorful - Accent 2"/>
    <w:basedOn w:val="8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59">
    <w:name w:val="List Table 6 Colorful - Accent 3"/>
    <w:basedOn w:val="8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0">
    <w:name w:val="List Table 6 Colorful - Accent 4"/>
    <w:basedOn w:val="8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1">
    <w:name w:val="List Table 6 Colorful - Accent 5"/>
    <w:basedOn w:val="8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2">
    <w:name w:val="List Table 6 Colorful - Accent 6"/>
    <w:basedOn w:val="8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3">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4">
    <w:name w:val="List Table 7 Colorful - Accent 1"/>
    <w:basedOn w:val="8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5">
    <w:name w:val="List Table 7 Colorful - Accent 2"/>
    <w:basedOn w:val="8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6">
    <w:name w:val="List Table 7 Colorful - Accent 3"/>
    <w:basedOn w:val="8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67">
    <w:name w:val="List Table 7 Colorful - Accent 4"/>
    <w:basedOn w:val="8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68">
    <w:name w:val="List Table 7 Colorful - Accent 5"/>
    <w:basedOn w:val="8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69">
    <w:name w:val="List Table 7 Colorful - Accent 6"/>
    <w:basedOn w:val="8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0">
    <w:name w:val="Lined - Accent"/>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1">
    <w:name w:val="Lined - Accent 1"/>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2">
    <w:name w:val="Lined - Accent 2"/>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3">
    <w:name w:val="Lined - Accent 3"/>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4">
    <w:name w:val="Lined - Accent 4"/>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5">
    <w:name w:val="Lined - Accent 5"/>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6">
    <w:name w:val="Lined - Accent 6"/>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77">
    <w:name w:val="Bordered &amp; Lined - Accent"/>
    <w:basedOn w:val="8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Bordered &amp; Lined - Accent 1"/>
    <w:basedOn w:val="8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9">
    <w:name w:val="Bordered &amp; Lined - Accent 2"/>
    <w:basedOn w:val="8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0">
    <w:name w:val="Bordered &amp; Lined - Accent 3"/>
    <w:basedOn w:val="8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1">
    <w:name w:val="Bordered &amp; Lined - Accent 4"/>
    <w:basedOn w:val="8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2">
    <w:name w:val="Bordered &amp; Lined - Accent 5"/>
    <w:basedOn w:val="8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3">
    <w:name w:val="Bordered &amp; Lined - Accent 6"/>
    <w:basedOn w:val="8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4">
    <w:name w:val="Bordered"/>
    <w:basedOn w:val="8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5">
    <w:name w:val="Bordered - Accent 1"/>
    <w:basedOn w:val="8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6">
    <w:name w:val="Bordered - Accent 2"/>
    <w:basedOn w:val="8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7">
    <w:name w:val="Bordered - Accent 3"/>
    <w:basedOn w:val="8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8">
    <w:name w:val="Bordered - Accent 4"/>
    <w:basedOn w:val="8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89">
    <w:name w:val="Bordered - Accent 5"/>
    <w:basedOn w:val="8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0">
    <w:name w:val="Bordered - Accent 6"/>
    <w:basedOn w:val="8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1">
    <w:name w:val="Hyperlink"/>
    <w:uiPriority w:val="99"/>
    <w:unhideWhenUsed/>
    <w:rPr>
      <w:color w:val="0000ff" w:themeColor="hyperlink"/>
      <w:u w:val="single"/>
    </w:rPr>
  </w:style>
  <w:style w:type="paragraph" w:styleId="792">
    <w:name w:val="footnote text"/>
    <w:basedOn w:val="809"/>
    <w:link w:val="793"/>
    <w:uiPriority w:val="99"/>
    <w:semiHidden/>
    <w:unhideWhenUsed/>
    <w:pPr>
      <w:spacing w:after="40" w:line="240" w:lineRule="auto"/>
    </w:pPr>
    <w:rPr>
      <w:sz w:val="18"/>
    </w:rPr>
  </w:style>
  <w:style w:type="character" w:styleId="793">
    <w:name w:val="Footnote Text Char"/>
    <w:link w:val="792"/>
    <w:uiPriority w:val="99"/>
    <w:rPr>
      <w:sz w:val="18"/>
    </w:rPr>
  </w:style>
  <w:style w:type="character" w:styleId="794">
    <w:name w:val="footnote reference"/>
    <w:basedOn w:val="812"/>
    <w:uiPriority w:val="99"/>
    <w:unhideWhenUsed/>
    <w:rPr>
      <w:vertAlign w:val="superscript"/>
    </w:rPr>
  </w:style>
  <w:style w:type="paragraph" w:styleId="795">
    <w:name w:val="endnote text"/>
    <w:basedOn w:val="809"/>
    <w:link w:val="796"/>
    <w:uiPriority w:val="99"/>
    <w:semiHidden/>
    <w:unhideWhenUsed/>
    <w:pPr>
      <w:spacing w:after="0" w:line="240" w:lineRule="auto"/>
    </w:pPr>
    <w:rPr>
      <w:sz w:val="20"/>
    </w:rPr>
  </w:style>
  <w:style w:type="character" w:styleId="796">
    <w:name w:val="Endnote Text Char"/>
    <w:link w:val="795"/>
    <w:uiPriority w:val="99"/>
    <w:rPr>
      <w:sz w:val="20"/>
    </w:rPr>
  </w:style>
  <w:style w:type="character" w:styleId="797">
    <w:name w:val="endnote reference"/>
    <w:basedOn w:val="812"/>
    <w:uiPriority w:val="99"/>
    <w:semiHidden/>
    <w:unhideWhenUsed/>
    <w:rPr>
      <w:vertAlign w:val="superscript"/>
    </w:rPr>
  </w:style>
  <w:style w:type="paragraph" w:styleId="798">
    <w:name w:val="toc 1"/>
    <w:basedOn w:val="809"/>
    <w:next w:val="809"/>
    <w:uiPriority w:val="39"/>
    <w:unhideWhenUsed/>
    <w:pPr>
      <w:ind w:left="0" w:right="0" w:firstLine="0"/>
      <w:spacing w:after="57"/>
    </w:pPr>
  </w:style>
  <w:style w:type="paragraph" w:styleId="799">
    <w:name w:val="toc 2"/>
    <w:basedOn w:val="809"/>
    <w:next w:val="809"/>
    <w:uiPriority w:val="39"/>
    <w:unhideWhenUsed/>
    <w:pPr>
      <w:ind w:left="283" w:right="0" w:firstLine="0"/>
      <w:spacing w:after="57"/>
    </w:pPr>
  </w:style>
  <w:style w:type="paragraph" w:styleId="800">
    <w:name w:val="toc 3"/>
    <w:basedOn w:val="809"/>
    <w:next w:val="809"/>
    <w:uiPriority w:val="39"/>
    <w:unhideWhenUsed/>
    <w:pPr>
      <w:ind w:left="567" w:right="0" w:firstLine="0"/>
      <w:spacing w:after="57"/>
    </w:pPr>
  </w:style>
  <w:style w:type="paragraph" w:styleId="801">
    <w:name w:val="toc 4"/>
    <w:basedOn w:val="809"/>
    <w:next w:val="809"/>
    <w:uiPriority w:val="39"/>
    <w:unhideWhenUsed/>
    <w:pPr>
      <w:ind w:left="850" w:right="0" w:firstLine="0"/>
      <w:spacing w:after="57"/>
    </w:pPr>
  </w:style>
  <w:style w:type="paragraph" w:styleId="802">
    <w:name w:val="toc 5"/>
    <w:basedOn w:val="809"/>
    <w:next w:val="809"/>
    <w:uiPriority w:val="39"/>
    <w:unhideWhenUsed/>
    <w:pPr>
      <w:ind w:left="1134" w:right="0" w:firstLine="0"/>
      <w:spacing w:after="57"/>
    </w:pPr>
  </w:style>
  <w:style w:type="paragraph" w:styleId="803">
    <w:name w:val="toc 6"/>
    <w:basedOn w:val="809"/>
    <w:next w:val="809"/>
    <w:uiPriority w:val="39"/>
    <w:unhideWhenUsed/>
    <w:pPr>
      <w:ind w:left="1417" w:right="0" w:firstLine="0"/>
      <w:spacing w:after="57"/>
    </w:pPr>
  </w:style>
  <w:style w:type="paragraph" w:styleId="804">
    <w:name w:val="toc 7"/>
    <w:basedOn w:val="809"/>
    <w:next w:val="809"/>
    <w:uiPriority w:val="39"/>
    <w:unhideWhenUsed/>
    <w:pPr>
      <w:ind w:left="1701" w:right="0" w:firstLine="0"/>
      <w:spacing w:after="57"/>
    </w:pPr>
  </w:style>
  <w:style w:type="paragraph" w:styleId="805">
    <w:name w:val="toc 8"/>
    <w:basedOn w:val="809"/>
    <w:next w:val="809"/>
    <w:uiPriority w:val="39"/>
    <w:unhideWhenUsed/>
    <w:pPr>
      <w:ind w:left="1984" w:right="0" w:firstLine="0"/>
      <w:spacing w:after="57"/>
    </w:pPr>
  </w:style>
  <w:style w:type="paragraph" w:styleId="806">
    <w:name w:val="toc 9"/>
    <w:basedOn w:val="809"/>
    <w:next w:val="809"/>
    <w:uiPriority w:val="39"/>
    <w:unhideWhenUsed/>
    <w:pPr>
      <w:ind w:left="2268" w:right="0" w:firstLine="0"/>
      <w:spacing w:after="57"/>
    </w:pPr>
  </w:style>
  <w:style w:type="paragraph" w:styleId="807">
    <w:name w:val="TOC Heading"/>
    <w:uiPriority w:val="39"/>
    <w:unhideWhenUsed/>
  </w:style>
  <w:style w:type="paragraph" w:styleId="808">
    <w:name w:val="table of figures"/>
    <w:basedOn w:val="809"/>
    <w:next w:val="809"/>
    <w:uiPriority w:val="99"/>
    <w:unhideWhenUsed/>
    <w:pPr>
      <w:spacing w:after="0" w:afterAutospacing="0"/>
    </w:pPr>
  </w:style>
  <w:style w:type="paragraph" w:styleId="80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0">
    <w:name w:val="Heading 1"/>
    <w:basedOn w:val="809"/>
    <w:next w:val="809"/>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811">
    <w:name w:val="Heading 2"/>
    <w:basedOn w:val="809"/>
    <w:next w:val="80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Note Heading"/>
    <w:basedOn w:val="809"/>
    <w:next w:val="809"/>
    <w:uiPriority w:val="0"/>
    <w:qFormat/>
    <w:rPr>
      <w:rFonts w:ascii="Verdana" w:hAnsi="Verdana"/>
      <w:szCs w:val="20"/>
    </w:rPr>
  </w:style>
  <w:style w:type="paragraph" w:styleId="815">
    <w:name w:val="annotation text"/>
    <w:basedOn w:val="809"/>
    <w:uiPriority w:val="0"/>
    <w:qFormat/>
    <w:pPr>
      <w:jc w:val="left"/>
    </w:pPr>
  </w:style>
  <w:style w:type="paragraph" w:styleId="816">
    <w:name w:val="Body Text Indent"/>
    <w:basedOn w:val="809"/>
    <w:next w:val="817"/>
    <w:uiPriority w:val="0"/>
    <w:qFormat/>
    <w:pPr>
      <w:ind w:firstLine="645"/>
    </w:pPr>
    <w:rPr>
      <w:rFonts w:ascii="楷体_GB2312" w:hAnsi="Times New Roman" w:eastAsia="楷体_GB2312"/>
      <w:sz w:val="32"/>
      <w:szCs w:val="20"/>
    </w:rPr>
  </w:style>
  <w:style w:type="paragraph" w:styleId="817">
    <w:name w:val="envelope return"/>
    <w:basedOn w:val="809"/>
    <w:uiPriority w:val="0"/>
    <w:qFormat/>
    <w:rPr>
      <w:rFonts w:ascii="Arial" w:hAnsi="Arial" w:eastAsia="宋体" w:cs="Times New Roman"/>
    </w:rPr>
  </w:style>
  <w:style w:type="paragraph" w:styleId="818">
    <w:name w:val="Footer"/>
    <w:basedOn w:val="809"/>
    <w:link w:val="825"/>
    <w:uiPriority w:val="0"/>
    <w:qFormat/>
    <w:pPr>
      <w:jc w:val="left"/>
      <w:tabs>
        <w:tab w:val="center" w:pos="4153" w:leader="none"/>
        <w:tab w:val="right" w:pos="8306" w:leader="none"/>
      </w:tabs>
    </w:pPr>
    <w:rPr>
      <w:sz w:val="18"/>
      <w:szCs w:val="18"/>
    </w:rPr>
  </w:style>
  <w:style w:type="paragraph" w:styleId="819">
    <w:name w:val="Header"/>
    <w:basedOn w:val="809"/>
    <w:link w:val="824"/>
    <w:uiPriority w:val="0"/>
    <w:qFormat/>
    <w:pPr>
      <w:jc w:val="center"/>
      <w:tabs>
        <w:tab w:val="center" w:pos="4153" w:leader="none"/>
        <w:tab w:val="right" w:pos="8306" w:leader="none"/>
      </w:tabs>
      <w:pBdr>
        <w:bottom w:val="single" w:color="auto" w:sz="6" w:space="1"/>
      </w:pBdr>
    </w:pPr>
    <w:rPr>
      <w:sz w:val="18"/>
      <w:szCs w:val="18"/>
    </w:rPr>
  </w:style>
  <w:style w:type="paragraph" w:styleId="820">
    <w:name w:val="Normal (Web)"/>
    <w:basedOn w:val="809"/>
    <w:uiPriority w:val="0"/>
    <w:qFormat/>
    <w:pPr>
      <w:jc w:val="left"/>
      <w:spacing w:beforeAutospacing="1" w:afterAutospacing="1"/>
    </w:pPr>
    <w:rPr>
      <w:rFonts w:cs="Times New Roman"/>
      <w:sz w:val="24"/>
    </w:rPr>
  </w:style>
  <w:style w:type="paragraph" w:styleId="821">
    <w:name w:val="Body Text First Indent 2"/>
    <w:basedOn w:val="816"/>
    <w:next w:val="809"/>
    <w:uiPriority w:val="0"/>
    <w:qFormat/>
    <w:pPr>
      <w:ind w:left="420" w:firstLine="420"/>
      <w:spacing w:after="120" w:line="240" w:lineRule="auto"/>
    </w:pPr>
    <w:rPr>
      <w:rFonts w:ascii="Calibri" w:eastAsia="宋体"/>
      <w:sz w:val="28"/>
    </w:rPr>
  </w:style>
  <w:style w:type="table" w:styleId="822">
    <w:name w:val="Table Grid"/>
    <w:basedOn w:val="81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23" w:customStyle="1">
    <w:name w:val="Default"/>
    <w:basedOn w:val="809"/>
    <w:uiPriority w:val="0"/>
    <w:semiHidden/>
    <w:qFormat/>
    <w:pPr>
      <w:jc w:val="left"/>
    </w:pPr>
    <w:rPr>
      <w:rFonts w:ascii="宋体" w:hAnsi="Calibri" w:cs="宋体"/>
      <w:color w:val="000000"/>
      <w:sz w:val="24"/>
    </w:rPr>
  </w:style>
  <w:style w:type="character" w:styleId="824" w:customStyle="1">
    <w:name w:val="页眉 Char"/>
    <w:basedOn w:val="812"/>
    <w:link w:val="819"/>
    <w:uiPriority w:val="0"/>
    <w:qFormat/>
    <w:rPr>
      <w:rFonts w:asciiTheme="minorHAnsi" w:hAnsiTheme="minorHAnsi" w:eastAsiaTheme="minorEastAsia" w:cstheme="minorBidi"/>
      <w:sz w:val="18"/>
      <w:szCs w:val="18"/>
    </w:rPr>
  </w:style>
  <w:style w:type="character" w:styleId="825" w:customStyle="1">
    <w:name w:val="页脚 Char"/>
    <w:basedOn w:val="812"/>
    <w:link w:val="818"/>
    <w:uiPriority w:val="0"/>
    <w:qFormat/>
    <w:rPr>
      <w:rFonts w:asciiTheme="minorHAnsi" w:hAnsiTheme="minorHAnsi" w:eastAsiaTheme="minorEastAsia" w:cstheme="minorBidi"/>
      <w:sz w:val="18"/>
      <w:szCs w:val="18"/>
    </w:rPr>
  </w:style>
  <w:style w:type="paragraph" w:styleId="826" w:customStyle="1">
    <w:name w:val="普通正文"/>
    <w:basedOn w:val="809"/>
    <w:uiPriority w:val="0"/>
    <w:qFormat/>
    <w:pPr>
      <w:ind w:firstLine="480"/>
      <w:jc w:val="left"/>
      <w:spacing w:before="120" w:after="120" w:line="360" w:lineRule="auto"/>
    </w:pPr>
    <w:rPr>
      <w:rFonts w:ascii="Arial" w:hAnsi="Arial" w:eastAsia="等线" w:cs="Arial"/>
      <w:sz w:val="24"/>
      <w:szCs w:val="24"/>
    </w:rPr>
  </w:style>
  <w:style w:type="paragraph" w:styleId="827" w:customStyle="1">
    <w:name w:val="正文首行缩进 21"/>
    <w:basedOn w:val="828"/>
    <w:uiPriority w:val="0"/>
    <w:qFormat/>
    <w:pPr>
      <w:ind w:firstLine="420"/>
    </w:pPr>
  </w:style>
  <w:style w:type="paragraph" w:styleId="828" w:customStyle="1">
    <w:name w:val="正文文本缩进1"/>
    <w:basedOn w:val="809"/>
    <w:uiPriority w:val="0"/>
    <w:qFormat/>
    <w:pPr>
      <w:ind w:left="420"/>
      <w:spacing w:after="120"/>
    </w:pPr>
  </w:style>
  <w:style w:type="paragraph" w:styleId="829" w:customStyle="1">
    <w:name w:val="列出段落1"/>
    <w:basedOn w:val="809"/>
    <w:uiPriority w:val="0"/>
    <w:qFormat/>
    <w:pPr>
      <w:ind w:firstLine="420"/>
    </w:pPr>
    <w:rPr>
      <w:rFonts w:ascii="Calibri" w:hAnsi="Calibri" w:eastAsia="宋体" w:cs="Times New Roman"/>
    </w:rPr>
  </w:style>
  <w:style w:type="numbering" w:styleId="8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翟慧（盐城分公司）</cp:lastModifiedBy>
  <cp:revision>192</cp:revision>
  <dcterms:created xsi:type="dcterms:W3CDTF">2014-10-29T12:08:00Z</dcterms:created>
  <dcterms:modified xsi:type="dcterms:W3CDTF">2025-11-14T03:02:26Z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D1C77891A61A4744B0E05EFD7A096D43_13</vt:lpwstr>
  </property>
  <property fmtid="{D5CDD505-2E9C-101B-9397-08002B2CF9AE}" pid="4" name="KSOTemplateDocerSaveRecord">
    <vt:lpwstr>eyJoZGlkIjoiOGM4ODAzZjIyZjU3MDU2NDdkNjkxNDQwZDZhZmE0NTEiLCJ1c2VySWQiOiIxMTM4MzEwNzAxIn0=</vt:lpwstr>
  </property>
</Properties>
</file>